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pStyle w:val="39"/>
        <w:spacing w:line="58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bookmarkStart w:id="0" w:name="_Hlk25540369"/>
      <w:bookmarkStart w:id="1" w:name="cogw__正文__file"/>
      <w:r>
        <w:rPr>
          <w:rFonts w:ascii="方正小标宋_GBK" w:eastAsia="方正小标宋_GBK" w:cs="方正小标宋_GBK" w:hint="eastAsia"/>
          <w:sz w:val="44"/>
          <w:szCs w:val="44"/>
        </w:rPr>
        <w:t>辽中海关202</w:t>
      </w:r>
      <w:r>
        <w:rPr>
          <w:rFonts w:ascii="方正小标宋_GBK" w:eastAsia="方正小标宋_GBK" w:cs="方正小标宋_GBK"/>
          <w:sz w:val="44"/>
          <w:szCs w:val="44"/>
        </w:rPr>
        <w:t>4</w:t>
      </w:r>
      <w:r>
        <w:rPr>
          <w:rFonts w:ascii="方正小标宋_GBK" w:eastAsia="方正小标宋_GBK" w:cs="方正小标宋_GBK" w:hint="eastAsia"/>
          <w:sz w:val="44"/>
          <w:szCs w:val="44"/>
        </w:rPr>
        <w:t>年政府信息公开工作年度报告</w:t>
      </w:r>
      <w:bookmarkEnd w:id="0"/>
    </w:p>
    <w:p>
      <w:pPr>
        <w:pStyle w:val="25"/>
        <w:widowControl/>
        <w:shd w:val="clear" w:color="auto" w:fill="FFFFFF"/>
        <w:adjustRightInd w:val="0"/>
        <w:snapToGrid w:val="0"/>
        <w:spacing w:beforeAutospacing="0" w:afterAutospacing="0" w:line="560" w:lineRule="exact"/>
        <w:jc w:val="both"/>
        <w:rPr>
          <w:rFonts w:ascii="楷体_GB2312" w:eastAsia="楷体_GB2312" w:cs="楷体_GB2312"/>
          <w:bCs/>
          <w:sz w:val="32"/>
          <w:szCs w:val="32"/>
          <w:shd w:val="clear" w:color="auto" w:fill="FFFFFF"/>
        </w:rPr>
      </w:pPr>
    </w:p>
    <w:p>
      <w:pPr>
        <w:pStyle w:val="25"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方正黑体_GBK" w:eastAsia="方正黑体_GBK" w:cs="楷体_GB2312"/>
          <w:bCs/>
          <w:sz w:val="32"/>
          <w:szCs w:val="32"/>
          <w:shd w:val="clear" w:color="auto" w:fill="FFFFFF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</w:rPr>
        <w:t>一、总体情况</w:t>
      </w:r>
    </w:p>
    <w:p>
      <w:pPr>
        <w:pStyle w:val="33"/>
        <w:adjustRightInd w:val="0"/>
        <w:snapToGrid w:val="0"/>
        <w:ind w:firstLineChars="200" w:firstLine="624"/>
      </w:pPr>
      <w:r>
        <w:rPr>
          <w:rFonts w:hint="eastAsia"/>
        </w:rPr>
        <w:t>202</w:t>
      </w:r>
      <w:r>
        <w:t>4</w:t>
      </w:r>
      <w:r>
        <w:rPr>
          <w:rFonts w:hint="eastAsia"/>
        </w:rPr>
        <w:t>年，辽中海关坚持以习近平新时代中国特色社会主义思想为指导，</w:t>
      </w:r>
      <w:r>
        <w:rPr>
          <w:rFonts w:ascii="方正仿宋_GBK" w:eastAsia="方正仿宋_GBK" w:cs="Arial" w:hint="eastAsia"/>
          <w:sz w:val="32"/>
          <w:szCs w:val="32"/>
        </w:rPr>
        <w:t>深入学习贯彻党的二十大和二十届二中、三中全会精神</w:t>
      </w:r>
      <w:r>
        <w:rPr>
          <w:rFonts w:ascii="方正仿宋_GBK" w:eastAsia="方正仿宋_GBK" w:cs="Arial"/>
          <w:sz w:val="32"/>
          <w:szCs w:val="32"/>
        </w:rPr>
        <w:t>，</w:t>
      </w:r>
      <w:r>
        <w:rPr>
          <w:rFonts w:hint="eastAsia"/>
        </w:rPr>
        <w:t>稳步推进基层政务公开</w:t>
      </w:r>
      <w:r>
        <w:t>工作</w:t>
      </w:r>
      <w:r>
        <w:rPr>
          <w:rFonts w:hint="eastAsia"/>
        </w:rPr>
        <w:t>标准化规范化，不断夯实政务公开工作基础。</w:t>
      </w:r>
    </w:p>
    <w:p>
      <w:pPr>
        <w:pStyle w:val="33"/>
        <w:adjustRightInd w:val="0"/>
        <w:snapToGrid w:val="0"/>
        <w:ind w:firstLineChars="200" w:firstLine="624"/>
        <w:rPr>
          <w:rFonts w:ascii="方正楷体_GBK" w:eastAsia="方正楷体_GBK"/>
          <w:b/>
        </w:rPr>
      </w:pPr>
      <w:r>
        <w:rPr>
          <w:rFonts w:ascii="方正楷体_GBK" w:eastAsia="方正楷体_GBK" w:hint="eastAsia"/>
          <w:b/>
        </w:rPr>
        <w:t>（一）</w:t>
      </w:r>
      <w:r>
        <w:rPr>
          <w:rFonts w:ascii="方正楷体_GBK" w:eastAsia="方正楷体_GBK"/>
          <w:b/>
        </w:rPr>
        <w:t>拓宽公开渠道</w:t>
      </w:r>
      <w:r>
        <w:rPr>
          <w:rFonts w:ascii="方正楷体_GBK" w:eastAsia="方正楷体_GBK" w:hint="eastAsia"/>
          <w:b/>
        </w:rPr>
        <w:t>，建立完善政府信息公开</w:t>
      </w:r>
      <w:r>
        <w:rPr>
          <w:rFonts w:ascii="方正楷体_GBK" w:eastAsia="方正楷体_GBK"/>
          <w:b/>
        </w:rPr>
        <w:t>申请</w:t>
      </w:r>
      <w:r>
        <w:rPr>
          <w:rFonts w:ascii="方正楷体_GBK" w:eastAsia="方正楷体_GBK" w:hint="eastAsia"/>
          <w:b/>
        </w:rPr>
        <w:t>工作机制。</w:t>
      </w:r>
    </w:p>
    <w:p>
      <w:pPr>
        <w:pStyle w:val="71"/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辽中海关</w:t>
      </w:r>
      <w:r>
        <w:rPr>
          <w:rFonts w:ascii="方正仿宋_GBK" w:eastAsia="方正仿宋_GBK"/>
          <w:sz w:val="32"/>
          <w:szCs w:val="32"/>
        </w:rPr>
        <w:t>坚持以公开促服务、促规范，注重在公开内容、公开形式、公开平台等方面积极探索，形成为民办实事、为企优环境的成功经验做法。建立健全依申请公开工作机制，</w:t>
      </w:r>
      <w:r>
        <w:rPr>
          <w:rFonts w:ascii="方正仿宋_GBK" w:eastAsia="方正仿宋_GBK" w:hint="eastAsia"/>
          <w:sz w:val="32"/>
          <w:szCs w:val="32"/>
        </w:rPr>
        <w:t>严格依据《中华人民共和国反不正当竞争法》《中华人民共和国政府信息公开条例》相关规定，</w:t>
      </w:r>
      <w:r>
        <w:rPr>
          <w:rFonts w:ascii="方正仿宋_GBK" w:eastAsia="方正仿宋_GBK"/>
          <w:sz w:val="32"/>
          <w:szCs w:val="32"/>
        </w:rPr>
        <w:t>认真</w:t>
      </w:r>
      <w:r>
        <w:rPr>
          <w:rFonts w:ascii="方正仿宋_GBK" w:eastAsia="方正仿宋_GBK" w:hint="eastAsia"/>
          <w:sz w:val="32"/>
          <w:szCs w:val="32"/>
        </w:rPr>
        <w:t>办理申请答复，</w:t>
      </w:r>
      <w:r>
        <w:rPr>
          <w:rFonts w:ascii="方正仿宋_GBK" w:eastAsia="方正仿宋_GBK"/>
          <w:sz w:val="32"/>
          <w:szCs w:val="32"/>
        </w:rPr>
        <w:t>明确登记、审核、办理、答复、归档等工作流程</w:t>
      </w:r>
      <w:r>
        <w:rPr>
          <w:rFonts w:ascii="方正仿宋_GBK" w:eastAsia="方正仿宋_GBK" w:hint="eastAsia"/>
          <w:sz w:val="32"/>
          <w:szCs w:val="32"/>
        </w:rPr>
        <w:t>，</w:t>
      </w:r>
      <w:r>
        <w:rPr>
          <w:rFonts w:ascii="方正仿宋_GBK" w:eastAsia="方正仿宋_GBK"/>
          <w:sz w:val="32"/>
          <w:szCs w:val="32"/>
        </w:rPr>
        <w:t>按时</w:t>
      </w:r>
      <w:r>
        <w:rPr>
          <w:rFonts w:ascii="方正仿宋_GBK" w:eastAsia="方正仿宋_GBK" w:hint="eastAsia"/>
          <w:sz w:val="32"/>
          <w:szCs w:val="32"/>
        </w:rPr>
        <w:t>向申请人提供</w:t>
      </w:r>
      <w:r>
        <w:rPr>
          <w:rFonts w:ascii="方正仿宋_GBK" w:eastAsia="方正仿宋_GBK"/>
          <w:sz w:val="32"/>
          <w:szCs w:val="32"/>
        </w:rPr>
        <w:t>可供</w:t>
      </w:r>
      <w:r>
        <w:rPr>
          <w:rFonts w:ascii="方正仿宋_GBK" w:eastAsia="方正仿宋_GBK" w:hint="eastAsia"/>
          <w:sz w:val="32"/>
          <w:szCs w:val="32"/>
        </w:rPr>
        <w:t>公开内容。</w:t>
      </w:r>
      <w:r>
        <w:rPr>
          <w:rFonts w:eastAsia="方正仿宋_GBK"/>
          <w:sz w:val="32"/>
          <w:szCs w:val="32"/>
        </w:rPr>
        <w:t>2024</w:t>
      </w:r>
      <w:r>
        <w:rPr>
          <w:rFonts w:ascii="方正仿宋_GBK" w:eastAsia="方正仿宋_GBK"/>
          <w:sz w:val="32"/>
          <w:szCs w:val="32"/>
        </w:rPr>
        <w:t>年，辽中海关通过邮寄、电子邮件等形式共</w:t>
      </w:r>
      <w:r>
        <w:rPr>
          <w:rFonts w:ascii="方正仿宋_GBK" w:eastAsia="方正仿宋_GBK" w:hint="eastAsia"/>
          <w:sz w:val="32"/>
          <w:szCs w:val="32"/>
        </w:rPr>
        <w:t>完成</w:t>
      </w:r>
      <w:r>
        <w:rPr>
          <w:rFonts w:ascii="方正仿宋_GBK" w:eastAsia="方正仿宋_GBK"/>
          <w:sz w:val="32"/>
          <w:szCs w:val="32"/>
        </w:rPr>
        <w:t>处理政府信息公开</w:t>
      </w:r>
      <w:r>
        <w:rPr>
          <w:rFonts w:ascii="方正仿宋_GBK" w:eastAsia="方正仿宋_GBK" w:hint="eastAsia"/>
          <w:sz w:val="32"/>
          <w:szCs w:val="32"/>
        </w:rPr>
        <w:t>申请</w:t>
      </w:r>
      <w:r>
        <w:rPr>
          <w:rFonts w:ascii="方正仿宋_GBK" w:eastAsia="方正仿宋_GBK"/>
          <w:sz w:val="32"/>
          <w:szCs w:val="32"/>
        </w:rPr>
        <w:t>答复</w:t>
      </w:r>
      <w:r>
        <w:rPr>
          <w:rFonts w:ascii="方正仿宋_GBK" w:eastAsia="方正仿宋_GBK" w:hint="eastAsia"/>
          <w:sz w:val="32"/>
          <w:szCs w:val="32"/>
        </w:rPr>
        <w:t>工作</w:t>
      </w:r>
      <w:r>
        <w:rPr>
          <w:rFonts w:eastAsia="方正仿宋_GBK"/>
          <w:sz w:val="32"/>
          <w:szCs w:val="32"/>
        </w:rPr>
        <w:t>15</w:t>
      </w:r>
      <w:r>
        <w:rPr>
          <w:rFonts w:ascii="方正仿宋_GBK" w:eastAsia="方正仿宋_GBK"/>
          <w:sz w:val="32"/>
          <w:szCs w:val="32"/>
        </w:rPr>
        <w:t>次</w:t>
      </w:r>
      <w:r>
        <w:rPr>
          <w:rFonts w:ascii="方正仿宋_GBK" w:eastAsia="方正仿宋_GBK" w:hint="eastAsia"/>
          <w:sz w:val="32"/>
          <w:szCs w:val="32"/>
        </w:rPr>
        <w:t>。</w:t>
      </w:r>
    </w:p>
    <w:p>
      <w:pPr>
        <w:pStyle w:val="33"/>
        <w:adjustRightInd w:val="0"/>
        <w:snapToGrid w:val="0"/>
        <w:ind w:firstLineChars="200" w:firstLine="624"/>
        <w:rPr>
          <w:rFonts w:ascii="方正楷体_GBK" w:eastAsia="方正楷体_GBK"/>
          <w:b/>
        </w:rPr>
      </w:pPr>
      <w:r>
        <w:rPr>
          <w:rFonts w:ascii="方正楷体_GBK" w:eastAsia="方正楷体_GBK"/>
          <w:b/>
        </w:rPr>
        <w:t>（二）强化监督保障，提升政府信息公开工作处理能力。</w:t>
      </w:r>
    </w:p>
    <w:p>
      <w:pPr>
        <w:pStyle w:val="20"/>
        <w:spacing w:line="560" w:lineRule="exact"/>
        <w:ind w:left="0" w:firstLine="0"/>
      </w:pPr>
      <w:r>
        <w:t xml:space="preserve">    </w:t>
      </w:r>
      <w:r>
        <w:rPr>
          <w:b/>
          <w:bCs/>
        </w:rPr>
        <w:t>一是</w:t>
      </w:r>
      <w:r>
        <w:t>成立辽中海关政务公开工作领导小组，修订完善《辽中海关政府信息公开工作规程》《辽中海关政府信息公开指南》《辽中海关政府信息公开审查机制》，推动政府信息公开工作规范化。</w:t>
      </w:r>
      <w:r>
        <w:rPr>
          <w:b/>
          <w:bCs/>
        </w:rPr>
        <w:t>二是</w:t>
      </w:r>
      <w:r>
        <w:t>严格遵循</w:t>
      </w:r>
      <w:r>
        <w:rPr>
          <w:rFonts w:hint="eastAsia"/>
        </w:rPr>
        <w:t>“涉密信息不公开，公开信息不涉密”</w:t>
      </w:r>
      <w:r>
        <w:t>和</w:t>
      </w:r>
      <w:r>
        <w:rPr>
          <w:rFonts w:hint="eastAsia"/>
        </w:rPr>
        <w:t>“先审查后公开”的原则，</w:t>
      </w:r>
      <w:r>
        <w:t>确保公开信息的规范性和合法性。</w:t>
      </w:r>
      <w:r>
        <w:rPr>
          <w:b/>
          <w:bCs/>
        </w:rPr>
        <w:t>三是</w:t>
      </w:r>
      <w:r>
        <w:t>及时传达学习总署、总关政务公开相关文件要求，派员参加沈阳海关举办的政务公开培训，有效提升工作人员的业务水平和工作能力。</w:t>
      </w:r>
    </w:p>
    <w:p>
      <w:pPr>
        <w:pStyle w:val="33"/>
        <w:adjustRightInd w:val="0"/>
        <w:snapToGrid w:val="0"/>
        <w:ind w:firstLineChars="200" w:firstLine="624"/>
        <w:rPr>
          <w:rFonts w:ascii="方正楷体_GBK" w:eastAsia="方正楷体_GBK"/>
          <w:b/>
        </w:rPr>
      </w:pPr>
      <w:r>
        <w:rPr>
          <w:rFonts w:ascii="方正楷体_GBK" w:eastAsia="方正楷体_GBK" w:hint="eastAsia"/>
          <w:b/>
        </w:rPr>
        <w:t>（</w:t>
      </w:r>
      <w:r>
        <w:rPr>
          <w:rFonts w:ascii="方正楷体_GBK" w:eastAsia="方正楷体_GBK"/>
          <w:b/>
        </w:rPr>
        <w:t>三</w:t>
      </w:r>
      <w:r>
        <w:rPr>
          <w:rFonts w:ascii="方正楷体_GBK" w:eastAsia="方正楷体_GBK" w:hint="eastAsia"/>
          <w:b/>
        </w:rPr>
        <w:t>）增强服务意识，形成政府信息公开良性互动。</w:t>
      </w:r>
    </w:p>
    <w:p>
      <w:pPr>
        <w:pStyle w:val="33"/>
        <w:adjustRightInd w:val="0"/>
        <w:snapToGrid w:val="0"/>
        <w:ind w:firstLineChars="200" w:firstLine="624"/>
      </w:pPr>
      <w:r>
        <w:rPr>
          <w:rFonts w:hint="eastAsia"/>
          <w:b/>
        </w:rPr>
        <w:t>积极推进公开平台建设。</w:t>
      </w:r>
      <w:r>
        <w:rPr>
          <w:rFonts w:hint="eastAsia"/>
        </w:rPr>
        <w:t>与地方政府部门、新兴民营企业举办多场“关企零距离”互动交流会，做好RCEP全面生效后政策宣讲，为1</w:t>
      </w:r>
      <w:r>
        <w:t>8</w:t>
      </w:r>
      <w:r>
        <w:rPr>
          <w:rFonts w:hint="eastAsia"/>
        </w:rPr>
        <w:t>家企业解读主动披露新规，对AEO认证标准进行实操指导，在防范化解“滞、瞒、逃、骗、害”监管风险的同时，为企业排忧解难，多措并举支持企业抢订单、拓市场。</w:t>
      </w:r>
    </w:p>
    <w:p>
      <w:pPr>
        <w:pStyle w:val="33"/>
        <w:adjustRightInd w:val="0"/>
        <w:snapToGrid w:val="0"/>
        <w:ind w:firstLineChars="200" w:firstLine="624"/>
        <w:rPr>
          <w:rFonts w:hint="eastAsia"/>
        </w:rPr>
      </w:pPr>
      <w:r>
        <w:rPr>
          <w:rFonts w:hint="eastAsia"/>
          <w:b/>
        </w:rPr>
        <w:t>探索搭建良性互动桥梁。</w:t>
      </w:r>
      <w:r>
        <w:rPr>
          <w:rFonts w:hint="eastAsia"/>
        </w:rPr>
        <w:t>将政务公开与国门安全教育、普法宣传、科普宣传等活动相融合，利用“关长接待日”“送政策上门”等活动开展定向宣讲1</w:t>
      </w:r>
      <w:r>
        <w:t>8</w:t>
      </w:r>
      <w:r>
        <w:rPr>
          <w:rFonts w:hint="eastAsia"/>
        </w:rPr>
        <w:t>次，增进社会公众对海关业务职能的了解。</w:t>
      </w:r>
    </w:p>
    <w:p>
      <w:pPr>
        <w:pStyle w:val="33"/>
        <w:adjustRightInd w:val="0"/>
        <w:snapToGrid w:val="0"/>
        <w:ind w:firstLineChars="200" w:firstLine="624"/>
        <w:rPr>
          <w:rFonts w:ascii="方正黑体_GBK" w:eastAsia="方正黑体_GBK" w:cs="楷体_GB2312"/>
          <w:bCs/>
          <w:szCs w:val="32"/>
          <w:shd w:val="clear" w:color="auto" w:fill="FFFFFF"/>
        </w:rPr>
      </w:pPr>
      <w:r>
        <w:rPr>
          <w:rFonts w:ascii="方正黑体_GBK" w:eastAsia="方正黑体_GBK" w:cs="楷体_GB2312" w:hint="eastAsia"/>
          <w:bCs/>
          <w:szCs w:val="32"/>
          <w:shd w:val="clear" w:color="auto" w:fill="FFFFFF"/>
        </w:rPr>
        <w:t>二、主动公开政府信息情况</w:t>
      </w:r>
    </w:p>
    <w:tbl>
      <w:tblPr>
        <w:jc w:val="center"/>
        <w:tblW w:w="89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20"/>
        <w:gridCol w:w="2183"/>
        <w:gridCol w:w="1936"/>
        <w:gridCol w:w="2156"/>
      </w:tblGrid>
      <w:tr>
        <w:trPr>
          <w:trHeight w:val="495"/>
        </w:trPr>
        <w:tc>
          <w:tcPr>
            <w:tcW w:w="89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第二十条第（一）项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</w:t>
            </w:r>
            <w:r>
              <w:rPr>
                <w:kern w:val="0"/>
                <w:sz w:val="24"/>
                <w:szCs w:val="24"/>
              </w:rPr>
              <w:t>制发件数</w:t>
            </w:r>
          </w:p>
        </w:tc>
        <w:tc>
          <w:tcPr>
            <w:tcW w:w="19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本年废止件</w:t>
            </w:r>
            <w:r>
              <w:rPr>
                <w:kern w:val="0"/>
                <w:sz w:val="24"/>
                <w:szCs w:val="24"/>
              </w:rPr>
              <w:t>数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现行有效件数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规章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行政规范性文件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rPr>
          <w:trHeight w:val="435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第二十条第（五）项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52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本年处理决定数量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行政许可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63"/>
              <w:jc w:val="center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eastAsia="方正仿宋_GBK" w:cs="宋体" w:hint="eastAsia"/>
                <w:sz w:val="24"/>
                <w:szCs w:val="24"/>
              </w:rPr>
              <w:t>0</w:t>
            </w:r>
          </w:p>
        </w:tc>
      </w:tr>
      <w:tr>
        <w:trPr>
          <w:trHeight w:val="406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第二十条第（六）项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55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本年处理决定数量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行政处罚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 w:cs="宋体"/>
                <w:sz w:val="24"/>
                <w:szCs w:val="24"/>
                <w:highlight w:val="yellow"/>
              </w:rPr>
            </w:pPr>
            <w:r>
              <w:rPr>
                <w:rFonts w:eastAsia="方正仿宋_GBK" w:cs="宋体"/>
                <w:sz w:val="24"/>
                <w:szCs w:val="24"/>
              </w:rPr>
              <w:t>26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行政强制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64"/>
              <w:jc w:val="center"/>
              <w:rPr>
                <w:rFonts w:eastAsia="方正仿宋_GBK" w:cs="宋体"/>
                <w:sz w:val="24"/>
                <w:szCs w:val="24"/>
                <w:highlight w:val="yellow"/>
              </w:rPr>
            </w:pPr>
            <w:r>
              <w:rPr>
                <w:rFonts w:eastAsia="方正仿宋_GBK" w:cs="宋体" w:hint="eastAsia"/>
                <w:sz w:val="24"/>
                <w:szCs w:val="24"/>
              </w:rPr>
              <w:t>0</w:t>
            </w:r>
          </w:p>
        </w:tc>
      </w:tr>
      <w:tr>
        <w:trPr>
          <w:trHeight w:val="474"/>
        </w:trPr>
        <w:tc>
          <w:tcPr>
            <w:tcW w:w="89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第二十条第（八）项</w:t>
            </w:r>
          </w:p>
        </w:tc>
      </w:tr>
      <w:tr>
        <w:trPr>
          <w:trHeight w:val="6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59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本年收费金额（单位：万元）</w:t>
            </w:r>
          </w:p>
        </w:tc>
      </w:tr>
      <w:tr>
        <w:trPr>
          <w:trHeight w:val="51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adjustRightInd w:val="0"/>
              <w:snapToGrid w:val="0"/>
              <w:spacing w:line="260" w:lineRule="exact"/>
              <w:jc w:val="center"/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行政事业性收费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eastAsia="方正仿宋_GBK" w:cs="宋体" w:hint="eastAsia"/>
                <w:sz w:val="24"/>
                <w:szCs w:val="24"/>
              </w:rPr>
              <w:t>0</w:t>
            </w:r>
          </w:p>
        </w:tc>
      </w:tr>
    </w:tbl>
    <w:p>
      <w:pPr>
        <w:pStyle w:val="25"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方正黑体_GBK" w:eastAsia="方正黑体_GBK" w:cs="楷体_GB2312"/>
          <w:bCs/>
          <w:sz w:val="32"/>
          <w:szCs w:val="32"/>
          <w:shd w:val="clear" w:color="auto" w:fill="FFFFFF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</w:rPr>
        <w:t>三、收到和处理政府信息公开申请情况</w:t>
      </w:r>
    </w:p>
    <w:tbl>
      <w:tblPr>
        <w:jc w:val="center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6"/>
        <w:gridCol w:w="936"/>
        <w:gridCol w:w="2670"/>
        <w:gridCol w:w="635"/>
        <w:gridCol w:w="675"/>
        <w:gridCol w:w="750"/>
        <w:gridCol w:w="765"/>
        <w:gridCol w:w="765"/>
        <w:gridCol w:w="497"/>
        <w:gridCol w:w="682"/>
      </w:tblGrid>
      <w:tr>
        <w:trPr>
          <w:tblHeader/>
        </w:trPr>
        <w:tc>
          <w:tcPr>
            <w:tcW w:w="4302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76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申请人情况</w:t>
            </w:r>
          </w:p>
        </w:tc>
      </w:tr>
      <w:tr>
        <w:trPr>
          <w:tblHeader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35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5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总计</w:t>
            </w:r>
          </w:p>
        </w:tc>
      </w:tr>
      <w:tr>
        <w:trPr>
          <w:trHeight w:val="649"/>
          <w:tblHeader/>
        </w:trPr>
        <w:tc>
          <w:tcPr>
            <w:tcW w:w="4302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35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4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</w:pPr>
            <w:r>
              <w:rPr>
                <w:rFonts w:ascii="宋体" w:cs="宋体" w:hint="eastAsia"/>
                <w:kern w:val="0"/>
                <w:sz w:val="20"/>
                <w:szCs w:val="20"/>
              </w:rPr>
              <w:t>其他</w:t>
            </w:r>
          </w:p>
        </w:tc>
        <w:tc>
          <w:tcPr>
            <w:tcW w:w="682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pStyle w:val="28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15</w:t>
            </w:r>
          </w:p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pStyle w:val="28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三、本年度办理结果</w:t>
            </w:r>
          </w:p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（一）予以公开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6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left"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6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（三）不予公开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1.属于国家秘密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2.其他法律行政法规禁止公开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3.危及“三安全一稳定”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4.保护第三方合法权益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5.属于三类内部事务信息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6.属于四类过程性信息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7.属于行政执法案卷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8.属于行政查询事项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（四）无法提供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1.本机关不掌握相关政府信息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2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2.没有现成信息需要另行制作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3.补正后申请内容仍不明确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（五）不予处理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1.信访举报投诉类申请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3.要求提供公开出版物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rPr>
          <w:trHeight w:val="810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4.无正当理由大量反复申请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2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93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（六）其他处理</w:t>
            </w:r>
          </w:p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>
            <w:pPr>
              <w:pStyle w:val="28"/>
              <w:widowControl/>
              <w:rPr>
                <w:rFonts w:ascii="楷体" w:eastAsia="楷体" w:cs="楷体"/>
                <w:kern w:val="0"/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1.申请人无正当理由逾期不补正、行政机关不再处理其政府信息公开申请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28"/>
              <w:widowControl/>
              <w:rPr>
                <w:rFonts w:ascii="楷体" w:eastAsia="楷体" w:cs="楷体"/>
                <w:kern w:val="0"/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2.申请人逾期未按收费通知要求缴纳费用、行政机关不再处理其政府信息公开申请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28"/>
              <w:widowControl/>
              <w:rPr>
                <w:rFonts w:ascii="楷体" w:eastAsia="楷体" w:cs="楷体"/>
                <w:kern w:val="0"/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3.咨询事项，指引咨询渠道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</w:tr>
      <w:tr>
        <w:trPr>
          <w:trHeight w:val="567"/>
        </w:trP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93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/>
        </w:tc>
        <w:tc>
          <w:tcPr>
            <w:tcW w:w="26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>
            <w:pPr>
              <w:pStyle w:val="28"/>
              <w:widowControl/>
              <w:rPr>
                <w:rFonts w:ascii="楷体" w:eastAsia="楷体" w:cs="楷体"/>
                <w:kern w:val="0"/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4.申请人撤销申请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  <w:tr>
        <w:tc>
          <w:tcPr>
            <w:tcW w:w="69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36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rPr>
                <w:sz w:val="24"/>
                <w:szCs w:val="24"/>
              </w:rPr>
            </w:pPr>
            <w:r>
              <w:rPr>
                <w:rFonts w:ascii="楷体" w:eastAsia="楷体" w:cs="楷体" w:hint="eastAsia"/>
                <w:kern w:val="0"/>
                <w:sz w:val="24"/>
                <w:szCs w:val="24"/>
              </w:rPr>
              <w:t>（七）总计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15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15</w:t>
            </w:r>
          </w:p>
        </w:tc>
      </w:tr>
      <w:tr>
        <w:tc>
          <w:tcPr>
            <w:tcW w:w="430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left"/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四、结转下年度继续办理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</w:tr>
    </w:tbl>
    <w:p>
      <w:pPr>
        <w:pStyle w:val="25"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方正黑体_GBK" w:eastAsia="方正黑体_GBK" w:cs="楷体_GB2312"/>
          <w:bCs/>
          <w:sz w:val="32"/>
          <w:szCs w:val="32"/>
          <w:shd w:val="clear" w:color="auto" w:fill="FFFFFF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jc w:val="center"/>
        <w:tblW w:w="90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c>
          <w:tcPr>
            <w:tcW w:w="3074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行政诉讼</w:t>
            </w:r>
          </w:p>
        </w:tc>
      </w:tr>
      <w:tr>
        <w:tc>
          <w:tcPr>
            <w:tcW w:w="604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复议后起诉</w:t>
            </w:r>
          </w:p>
        </w:tc>
      </w:tr>
      <w:tr>
        <w:tc>
          <w:tcPr>
            <w:tcW w:w="60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0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65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/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总计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sz w:val="24"/>
                <w:szCs w:val="24"/>
              </w:rPr>
            </w:pPr>
            <w:r>
              <w:rPr>
                <w:rFonts w:ascii="宋体" w:cs="宋体" w:hint="eastAsia"/>
                <w:kern w:val="0"/>
                <w:sz w:val="24"/>
                <w:szCs w:val="24"/>
              </w:rPr>
              <w:t>总计</w:t>
            </w:r>
          </w:p>
        </w:tc>
      </w:tr>
      <w:tr>
        <w:trPr>
          <w:trHeight w:val="862"/>
        </w:trPr>
        <w:tc>
          <w:tcPr>
            <w:tcW w:w="6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 w:hint="eastAsia"/>
                <w:sz w:val="24"/>
                <w:szCs w:val="24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28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0</w:t>
            </w:r>
          </w:p>
        </w:tc>
      </w:tr>
    </w:tbl>
    <w:p>
      <w:pPr>
        <w:pStyle w:val="25"/>
        <w:shd w:val="clear" w:color="auto" w:fill="FFFFFF"/>
        <w:adjustRightInd w:val="0"/>
        <w:snapToGrid w:val="0"/>
        <w:spacing w:beforeAutospacing="0" w:afterAutospacing="0" w:line="560" w:lineRule="exact"/>
        <w:ind w:firstLineChars="200" w:firstLine="640"/>
        <w:jc w:val="both"/>
        <w:rPr>
          <w:rFonts w:ascii="方正黑体_GBK" w:eastAsia="方正黑体_GBK" w:cs="楷体_GB2312"/>
          <w:bCs/>
          <w:sz w:val="32"/>
          <w:szCs w:val="32"/>
          <w:shd w:val="clear" w:color="auto" w:fill="FFFFFF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</w:rPr>
        <w:t>五、存在的主要问题及改进情况</w:t>
      </w:r>
    </w:p>
    <w:p>
      <w:pPr>
        <w:pStyle w:val="41"/>
        <w:adjustRightInd w:val="0"/>
        <w:snapToGrid w:val="0"/>
        <w:ind w:firstLineChars="200" w:firstLine="624"/>
      </w:pPr>
      <w:r>
        <w:rPr>
          <w:rFonts w:ascii="方正楷体_GBK" w:eastAsia="方正楷体_GBK" w:hint="eastAsia"/>
          <w:b/>
          <w:bCs/>
        </w:rPr>
        <w:t>（一）202</w:t>
      </w:r>
      <w:r>
        <w:rPr>
          <w:rFonts w:ascii="方正楷体_GBK" w:eastAsia="方正楷体_GBK"/>
          <w:b/>
          <w:bCs/>
        </w:rPr>
        <w:t>3</w:t>
      </w:r>
      <w:r>
        <w:rPr>
          <w:rFonts w:ascii="方正楷体_GBK" w:eastAsia="方正楷体_GBK" w:hint="eastAsia"/>
          <w:b/>
          <w:bCs/>
        </w:rPr>
        <w:t>年年报中所提问题整改情况。</w:t>
      </w:r>
    </w:p>
    <w:p>
      <w:pPr>
        <w:pStyle w:val="41"/>
        <w:adjustRightInd w:val="0"/>
        <w:snapToGrid w:val="0"/>
        <w:ind w:firstLineChars="200" w:firstLine="624"/>
      </w:pPr>
      <w:r>
        <w:rPr>
          <w:rFonts w:hint="eastAsia"/>
          <w:b/>
        </w:rPr>
        <w:t>一是</w:t>
      </w:r>
      <w:r>
        <w:rPr>
          <w:rFonts w:hint="eastAsia"/>
        </w:rPr>
        <w:t>针对“政务公开平台建设仍需进一步推进，部分公开渠道的服务效能发挥得不够充分，信息发布和查询功能有待持续完善”的问题，</w:t>
      </w:r>
      <w:r>
        <w:t>对辽中海关信息公开指南、职能配置和内设机构、领导信息及分工等信息在政府官网进行主动公开</w:t>
      </w:r>
      <w:r>
        <w:rPr>
          <w:rFonts w:hint="eastAsia"/>
        </w:rPr>
        <w:t>。</w:t>
      </w:r>
      <w:r>
        <w:rPr>
          <w:rFonts w:hint="eastAsia"/>
          <w:b/>
        </w:rPr>
        <w:t>二是</w:t>
      </w:r>
      <w:r>
        <w:rPr>
          <w:rFonts w:hint="eastAsia"/>
        </w:rPr>
        <w:t>针对“业务咨询工作的重视程度还不高，公开时间不及时，部分公开内容存在更新时间和频次不符</w:t>
      </w:r>
      <w:bookmarkStart w:id="2" w:name="_GoBack"/>
      <w:bookmarkEnd w:id="2"/>
      <w:r>
        <w:rPr>
          <w:rFonts w:hint="eastAsia"/>
        </w:rPr>
        <w:t>合标准的情况”的问题，组织</w:t>
      </w:r>
      <w:r>
        <w:t>相关</w:t>
      </w:r>
      <w:r>
        <w:rPr>
          <w:rFonts w:hint="eastAsia"/>
        </w:rPr>
        <w:t>科室认真学习相关文件要求，更新政务公开标准事项目录，建立健全组织领导、信息公开审查等工作机制，</w:t>
      </w:r>
      <w:r>
        <w:t>确保公开内容更新时间和频次符合标准</w:t>
      </w:r>
      <w:r>
        <w:rPr>
          <w:rFonts w:hint="eastAsia"/>
        </w:rPr>
        <w:t>，稳步提升政务公开工作标准化规范化水平。</w:t>
      </w:r>
    </w:p>
    <w:p>
      <w:pPr>
        <w:pStyle w:val="34"/>
        <w:adjustRightInd w:val="0"/>
        <w:snapToGrid w:val="0"/>
        <w:ind w:firstLineChars="200" w:firstLine="624"/>
        <w:rPr>
          <w:rFonts w:ascii="方正楷体_GBK" w:eastAsia="方正楷体_GBK"/>
          <w:b/>
          <w:bCs/>
        </w:rPr>
      </w:pPr>
      <w:r>
        <w:rPr>
          <w:rFonts w:ascii="方正楷体_GBK" w:eastAsia="方正楷体_GBK" w:hint="eastAsia"/>
          <w:b/>
          <w:bCs/>
        </w:rPr>
        <w:t>（二）目前存在问题。</w:t>
      </w:r>
    </w:p>
    <w:p>
      <w:pPr>
        <w:pStyle w:val="34"/>
        <w:adjustRightInd w:val="0"/>
        <w:snapToGrid w:val="0"/>
        <w:ind w:firstLineChars="200" w:firstLine="624"/>
        <w:rPr>
          <w:szCs w:val="32"/>
        </w:rPr>
      </w:pPr>
      <w:r>
        <w:rPr>
          <w:rFonts w:hint="eastAsia"/>
          <w:b/>
        </w:rPr>
        <w:t>一是</w:t>
      </w:r>
      <w:r>
        <w:t>应对政务公开工作经验不足，各科室政务公开工作能力仍需提升</w:t>
      </w:r>
      <w:r>
        <w:rPr>
          <w:rFonts w:hint="eastAsia"/>
        </w:rPr>
        <w:t>。</w:t>
      </w:r>
      <w:r>
        <w:rPr>
          <w:rFonts w:hint="eastAsia"/>
          <w:b/>
        </w:rPr>
        <w:t>二是</w:t>
      </w:r>
      <w:r>
        <w:t>政府信息公开的宣传力度不够，信息公开工作的覆盖面和影响力需进一步加强。</w:t>
      </w:r>
    </w:p>
    <w:p>
      <w:pPr>
        <w:pStyle w:val="25"/>
        <w:widowControl/>
        <w:shd w:val="clear" w:color="auto" w:fill="FFFFFF"/>
        <w:spacing w:beforeAutospacing="0" w:afterAutospacing="0" w:line="560" w:lineRule="exact"/>
        <w:ind w:firstLineChars="200" w:firstLine="640"/>
        <w:jc w:val="both"/>
        <w:rPr>
          <w:rFonts w:ascii="方正黑体_GBK" w:eastAsia="方正黑体_GBK" w:cs="楷体_GB2312"/>
          <w:bCs/>
          <w:sz w:val="32"/>
          <w:szCs w:val="32"/>
          <w:shd w:val="clear" w:color="auto" w:fill="FFFFFF"/>
        </w:rPr>
      </w:pPr>
      <w:r>
        <w:rPr>
          <w:rFonts w:ascii="方正黑体_GBK" w:eastAsia="方正黑体_GBK" w:cs="楷体_GB2312" w:hint="eastAsia"/>
          <w:bCs/>
          <w:sz w:val="32"/>
          <w:szCs w:val="32"/>
          <w:shd w:val="clear" w:color="auto" w:fill="FFFFFF"/>
        </w:rPr>
        <w:t>六、其他需要报告的事项</w:t>
      </w:r>
      <w:bookmarkEnd w:id="1"/>
    </w:p>
    <w:p>
      <w:pPr>
        <w:pStyle w:val="40"/>
        <w:adjustRightInd w:val="0"/>
        <w:snapToGrid w:val="0"/>
        <w:ind w:firstLineChars="200" w:firstLine="624"/>
      </w:pPr>
      <w:r>
        <w:rPr>
          <w:rFonts w:hint="eastAsia"/>
        </w:rPr>
        <w:t>辽中海关无收取信息处理费情况，无其他需要报告的事项。</w:t>
      </w:r>
    </w:p>
    <w:sectPr>
      <w:footerReference w:type="default" r:id="rId2"/>
      <w:footerReference w:type="even" r:id="rId3"/>
      <w:footerReference w:type="first" r:id="rId4"/>
      <w:pgSz w:w="11906" w:h="16838"/>
      <w:pgMar w:top="2098" w:right="1474" w:bottom="1985" w:left="1588" w:header="851" w:footer="992" w:gutter="0"/>
      <w:pgNumType w:fmt="numberInDash" w:start="1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楷体_GB2312">
    <w:altName w:val="方正楷体_GBK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Arial">
    <w:altName w:val="DejaVu Sans"/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方正楷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华文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altName w:val="方正楷体_GBK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黑体">
    <w:altName w:val="华文细黑"/>
    <w:panose1 w:val="02010609060101010101"/>
    <w:charset w:val="86"/>
    <w:family w:val="modern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6"/>
      <w:framePr w:w="0" w:hRule="auto" w:wrap="around" w:vAnchor="text" w:hAnchor="margin" w:xAlign="outside" w:y="1" w:anchorLock="0"/>
      <w:tabs>
        <w:tab w:val="center" w:pos="4153"/>
        <w:tab w:val="right" w:pos="8306"/>
      </w:tabs>
    </w:pPr>
    <w:r>
      <w:rPr>
        <w:rStyle w:val="17"/>
      </w:rPr>
      <w:fldChar w:fldCharType="begin"/>
    </w:r>
    <w:r>
      <w:rPr>
        <w:rStyle w:val="17"/>
      </w:rPr>
      <w:instrText>Page</w:instrText>
    </w:r>
    <w:r>
      <w:rPr>
        <w:rStyle w:val="17"/>
      </w:rPr>
      <w:fldChar w:fldCharType="separate"/>
    </w:r>
    <w:r>
      <w:rPr>
        <w:rStyle w:val="17"/>
      </w:rPr>
      <w:t>- 5 -</w:t>
    </w:r>
    <w:r>
      <w:rPr>
        <w:rStyle w:val="17"/>
      </w:rPr>
      <w:fldChar w:fldCharType="end"/>
    </w:r>
  </w:p>
  <w:p>
    <w:pPr>
      <w:pStyle w:val="16"/>
      <w:tabs>
        <w:tab w:val="center" w:pos="4153"/>
        <w:tab w:val="right" w:pos="8306"/>
      </w:tabs>
      <w:ind w:right="360" w:firstLine="360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6"/>
      <w:framePr w:w="0" w:hRule="auto" w:wrap="around" w:vAnchor="text" w:hAnchor="margin" w:xAlign="outside" w:y="1" w:anchorLock="0"/>
      <w:tabs>
        <w:tab w:val="center" w:pos="4153"/>
        <w:tab w:val="right" w:pos="8306"/>
      </w:tabs>
    </w:pPr>
    <w:r>
      <w:rPr>
        <w:rStyle w:val="17"/>
      </w:rPr>
      <w:fldChar w:fldCharType="begin"/>
    </w:r>
    <w:r>
      <w:rPr>
        <w:rStyle w:val="17"/>
      </w:rPr>
      <w:instrText>Page</w:instrText>
    </w:r>
    <w:r>
      <w:rPr>
        <w:rStyle w:val="17"/>
      </w:rPr>
      <w:fldChar w:fldCharType="separate"/>
    </w:r>
    <w:r>
      <w:rPr>
        <w:rStyle w:val="17"/>
      </w:rPr>
      <w:t>- 6 -</w:t>
    </w:r>
    <w:r>
      <w:rPr>
        <w:rStyle w:val="17"/>
      </w:rPr>
      <w:fldChar w:fldCharType="end"/>
    </w:r>
  </w:p>
  <w:p>
    <w:pPr>
      <w:pStyle w:val="16"/>
      <w:tabs>
        <w:tab w:val="center" w:pos="4153"/>
        <w:tab w:val="right" w:pos="8306"/>
      </w:tabs>
      <w:ind w:right="360" w:firstLine="360"/>
    </w:pPr>
  </w:p>
</w:ftr>
</file>

<file path=word/footer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6"/>
      <w:tabs>
        <w:tab w:val="center" w:pos="4153"/>
        <w:tab w:val="right" w:pos="8306"/>
      </w:tabs>
      <w:jc w:val="right"/>
    </w:pPr>
    <w:r>
      <w:fldChar w:fldCharType="begin"/>
    </w:r>
    <w:r>
      <w:instrText>Page</w:instrText>
    </w:r>
    <w:r>
      <w:fldChar w:fldCharType="separate"/>
    </w:r>
    <w:r>
      <w:t>- 1 -</w:t>
    </w:r>
    <w:r>
      <w:fldChar w:fldCharType="end"/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  <w:r>
      <w:fldChar w:fldCharType="begin"/>
    </w:r>
    <w:r>
      <w:instrText>Page</w:instrText>
    </w:r>
    <w:r>
      <w:fldChar w:fldCharType="separate"/>
    </w:r>
    <w:r>
      <w:t>- 1 -</w:t>
    </w:r>
    <w:r>
      <w:fldChar w:fldCharType="end"/>
    </w:r>
    <w:r>
      <w:fldChar w:fldCharType="begin"/>
    </w:r>
    <w:r>
      <w:instrText>Page</w:instrText>
    </w:r>
    <w:r>
      <w:fldChar w:fldCharType="separate"/>
    </w:r>
    <w:r>
      <w:t>- 1 -</w:t>
    </w:r>
    <w:r>
      <w:fldChar w:fldCharType="end"/>
    </w:r>
  </w:p>
  <w:p>
    <w:pPr>
      <w:pStyle w:val="16"/>
      <w:tabs>
        <w:tab w:val="center" w:pos="4153"/>
        <w:tab w:val="right" w:pos="8306"/>
      </w:tabs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00"/>
  <w:doNotDisplayPageBoundaries/>
  <w:bordersDoNotSurroundHeader/>
  <w:bordersDoNotSurroundFooter/>
  <w:defaultTabStop w:val="420"/>
  <w:evenAndOddHeaders/>
  <w:drawingGridHorizontalSpacing w:val="160"/>
  <w:drawingGridVerticalSpacing w:val="435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eastAsia="黑体"/>
      <w:b/>
      <w:bCs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Cs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17">
    <w:name w:val="page number"/>
    <w:basedOn w:val="10"/>
  </w:style>
  <w:style w:type="paragraph" w:customStyle="1" w:styleId="18">
    <w:name w:val="样式 三号"/>
    <w:next w:val="27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styleId="19">
    <w:name w:val="index 5"/>
    <w:basedOn w:val="0"/>
    <w:autoRedefine/>
    <w:next w:val="0"/>
    <w:pPr>
      <w:ind w:left="1680"/>
    </w:pPr>
  </w:style>
  <w:style w:type="paragraph" w:styleId="20">
    <w:name w:val="index 6"/>
    <w:basedOn w:val="0"/>
    <w:autoRedefine/>
    <w:next w:val="0"/>
    <w:pPr>
      <w:ind w:left="2100"/>
    </w:pPr>
  </w:style>
  <w:style w:type="paragraph" w:styleId="21">
    <w:name w:val="index 7"/>
    <w:basedOn w:val="0"/>
    <w:autoRedefine/>
    <w:next w:val="0"/>
    <w:pPr>
      <w:ind w:left="2520"/>
    </w:pPr>
  </w:style>
  <w:style w:type="paragraph" w:styleId="22">
    <w:name w:val="index 8"/>
    <w:basedOn w:val="0"/>
    <w:autoRedefine/>
    <w:next w:val="0"/>
    <w:pPr>
      <w:ind w:left="2940"/>
    </w:pPr>
  </w:style>
  <w:style w:type="paragraph" w:styleId="23">
    <w:name w:val="toc 1"/>
    <w:basedOn w:val="0"/>
    <w:autoRedefine/>
    <w:next w:val="0"/>
  </w:style>
  <w:style w:type="paragraph" w:styleId="24">
    <w:name w:val="toc 2"/>
    <w:basedOn w:val="0"/>
    <w:autoRedefine/>
    <w:next w:val="0"/>
    <w:pPr>
      <w:ind w:left="420"/>
    </w:pPr>
  </w:style>
  <w:style w:type="paragraph" w:styleId="25">
    <w:name w:val="Normal (Web)"/>
    <w:next w:val="16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26">
    <w:name w:val="样式 1 三号"/>
    <w:next w:val="23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8"/>
      <w:lang w:val="en-US" w:eastAsia="zh-CN" w:bidi="ar-SA"/>
    </w:rPr>
  </w:style>
  <w:style w:type="paragraph" w:customStyle="1" w:styleId="27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28">
    <w:name w:val="样式 小三"/>
    <w:next w:val="24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29">
    <w:name w:val="样式 1 小四"/>
    <w:next w:val="0"/>
    <w:pPr>
      <w:widowControl w:val="0"/>
    </w:pPr>
    <w:rPr>
      <w:rFonts w:ascii="宋体" w:eastAsia="宋体" w:cs="Times New Roman" w:hAnsi="Times New Roman"/>
      <w:kern w:val="2"/>
      <w:sz w:val="24"/>
      <w:szCs w:val="20"/>
      <w:lang w:val="en-US" w:eastAsia="zh-CN" w:bidi="ar-SA"/>
    </w:rPr>
  </w:style>
  <w:style w:type="paragraph" w:customStyle="1" w:styleId="30">
    <w:name w:val="样式 6 小四"/>
    <w:next w:val="0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31">
    <w:name w:val="样式 20 小四"/>
    <w:next w:val="19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32">
    <w:name w:val="样式 12 三号"/>
    <w:next w:val="22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33">
    <w:name w:val="样式 50 三号"/>
    <w:next w:val="20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34">
    <w:name w:val="样式 13 三号"/>
    <w:next w:val="21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35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8"/>
      <w:lang w:val="en-US" w:eastAsia="zh-CN" w:bidi="ar-SA"/>
    </w:rPr>
  </w:style>
  <w:style w:type="paragraph" w:customStyle="1" w:styleId="36">
    <w:name w:val="样式 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7">
    <w:name w:val="样式 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8">
    <w:name w:val="样式 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39">
    <w:name w:val="样式 6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8"/>
      <w:lang w:val="en-US" w:eastAsia="zh-CN" w:bidi="ar-SA"/>
    </w:rPr>
  </w:style>
  <w:style w:type="paragraph" w:customStyle="1" w:styleId="40">
    <w:name w:val="样式 7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41">
    <w:name w:val="样式 8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42">
    <w:name w:val="样式 小四"/>
    <w:pPr>
      <w:widowControl w:val="0"/>
    </w:pPr>
    <w:rPr>
      <w:rFonts w:ascii="宋体" w:eastAsia="宋体" w:cs="Times New Roman" w:hAnsi="Times New Roman"/>
      <w:kern w:val="2"/>
      <w:sz w:val="24"/>
      <w:szCs w:val="20"/>
      <w:lang w:val="en-US" w:eastAsia="zh-CN" w:bidi="ar-SA"/>
    </w:rPr>
  </w:style>
  <w:style w:type="paragraph" w:customStyle="1" w:styleId="43">
    <w:name w:val="样式 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44">
    <w:name w:val="样式 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45">
    <w:name w:val="样式 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46">
    <w:name w:val="样式 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47">
    <w:name w:val="样式 9 三号"/>
    <w:pPr>
      <w:widowControl w:val="0"/>
      <w:ind w:left="42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48">
    <w:name w:val="样式 2 小四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  <w:style w:type="paragraph" w:customStyle="1" w:styleId="49">
    <w:name w:val="样式 10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50">
    <w:name w:val="样式 3 小四"/>
    <w:pPr>
      <w:widowControl w:val="0"/>
    </w:pPr>
    <w:rPr>
      <w:rFonts w:ascii="宋体" w:eastAsia="宋体" w:cs="Times New Roman" w:hAnsi="Times New Roman"/>
      <w:kern w:val="2"/>
      <w:sz w:val="24"/>
      <w:szCs w:val="20"/>
      <w:lang w:val="en-US" w:eastAsia="zh-CN" w:bidi="ar-SA"/>
    </w:rPr>
  </w:style>
  <w:style w:type="paragraph" w:styleId="51">
    <w:name w:val="List Number 2"/>
    <w:basedOn w:val="0"/>
    <w:pPr>
      <w:tabs>
        <w:tab w:val="left" w:pos="780"/>
      </w:tabs>
      <w:ind w:left="780" w:hanging="360"/>
    </w:pPr>
  </w:style>
  <w:style w:type="paragraph" w:customStyle="1" w:styleId="52">
    <w:name w:val="样式 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3">
    <w:name w:val="样式 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4">
    <w:name w:val="样式 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5">
    <w:name w:val="样式 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6">
    <w:name w:val="样式 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7">
    <w:name w:val="样式 1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8">
    <w:name w:val="样式 11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59">
    <w:name w:val="样式 12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0">
    <w:name w:val="样式 13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1">
    <w:name w:val="样式 14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2">
    <w:name w:val="样式 15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3">
    <w:name w:val="样式 16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4">
    <w:name w:val="样式 17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5">
    <w:name w:val="样式 18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6">
    <w:name w:val="样式 19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customStyle="1" w:styleId="67">
    <w:name w:val="样式 20 小三"/>
    <w:pPr>
      <w:widowControl w:val="0"/>
      <w:jc w:val="both"/>
    </w:pPr>
    <w:rPr>
      <w:rFonts w:ascii="Times New Roman" w:eastAsia="宋体" w:cs="Times New Roman" w:hAnsi="Times New Roman"/>
      <w:kern w:val="2"/>
      <w:sz w:val="30"/>
      <w:szCs w:val="30"/>
      <w:lang w:val="en-US" w:eastAsia="zh-CN" w:bidi="ar-SA"/>
    </w:rPr>
  </w:style>
  <w:style w:type="paragraph" w:styleId="68">
    <w:name w:val="Balloon Text"/>
    <w:basedOn w:val="0"/>
    <w:rPr>
      <w:sz w:val="18"/>
      <w:szCs w:val="18"/>
    </w:rPr>
  </w:style>
  <w:style w:type="paragraph" w:styleId="69">
    <w:name w:val="List Continue 3"/>
    <w:basedOn w:val="0"/>
    <w:pPr>
      <w:spacing w:after="120"/>
      <w:ind w:left="1260"/>
    </w:pPr>
  </w:style>
  <w:style w:type="paragraph" w:customStyle="1" w:styleId="70">
    <w:name w:val="4二级标题"/>
    <w:next w:val="19"/>
    <w:pPr>
      <w:widowControl w:val="0"/>
      <w:adjustRightInd w:val="0"/>
      <w:snapToGrid w:val="0"/>
      <w:spacing w:line="295" w:lineRule="auto"/>
      <w:ind w:firstLineChars="200" w:firstLine="200"/>
      <w:jc w:val="both"/>
    </w:pPr>
    <w:rPr>
      <w:rFonts w:ascii="方正楷体_GBK" w:eastAsia="方正楷体_GBK" w:cs="Times New Roman" w:hAnsi="Times New Roman"/>
      <w:b/>
      <w:kern w:val="2"/>
      <w:sz w:val="32"/>
      <w:szCs w:val="32"/>
      <w:lang w:val="en-US" w:eastAsia="zh-CN" w:bidi="ar-SA"/>
    </w:rPr>
  </w:style>
  <w:style w:type="paragraph" w:customStyle="1" w:styleId="71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2">
    <w:name w:val="样式 1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20"/>
      <w:lang w:val="en-US" w:eastAsia="zh-CN" w:bidi="ar-SA"/>
    </w:rPr>
  </w:style>
  <w:style w:type="paragraph" w:customStyle="1" w:styleId="73">
    <w:name w:val="样式 14 三号"/>
    <w:next w:val="77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22"/>
      <w:lang w:val="en-US" w:eastAsia="zh-CN" w:bidi="ar-SA"/>
    </w:rPr>
  </w:style>
  <w:style w:type="paragraph" w:customStyle="1" w:styleId="74">
    <w:name w:val="样式 15 三号"/>
    <w:pPr>
      <w:widowControl w:val="0"/>
      <w:adjustRightInd w:val="0"/>
      <w:snapToGrid w:val="0"/>
      <w:spacing w:line="295" w:lineRule="auto"/>
      <w:ind w:firstLineChars="200" w:firstLine="200"/>
      <w:jc w:val="both"/>
    </w:pPr>
    <w:rPr>
      <w:rFonts w:ascii="方正楷体_GBK" w:eastAsia="方正楷体_GBK" w:cs="Times New Roman" w:hAnsi="Times New Roman"/>
      <w:b/>
      <w:kern w:val="2"/>
      <w:sz w:val="32"/>
      <w:szCs w:val="32"/>
      <w:lang w:val="en-US" w:eastAsia="zh-CN" w:bidi="ar-SA"/>
    </w:rPr>
  </w:style>
  <w:style w:type="paragraph" w:customStyle="1" w:styleId="75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76">
    <w:name w:val="im-content"/>
    <w:next w:val="69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000000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77">
    <w:name w:val="样式 4 小四"/>
    <w:pPr>
      <w:widowControl w:val="0"/>
      <w:spacing w:line="240" w:lineRule="auto"/>
      <w:jc w:val="left"/>
    </w:pPr>
    <w:rPr>
      <w:rFonts w:ascii="宋体" w:eastAsia="宋体" w:cs="Times New Roman" w:hAnsi="Times New Roman"/>
      <w:kern w:val="2"/>
      <w:sz w:val="24"/>
      <w:szCs w:val="21"/>
      <w:lang w:val="en-US" w:eastAsia="zh-CN" w:bidi="ar-SA"/>
    </w:rPr>
  </w:style>
  <w:style w:type="paragraph" w:customStyle="1" w:styleId="78">
    <w:name w:val="样式 5 小四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left"/>
      <w:textAlignment w:val="auto"/>
      <w:outlineLvl w:val="9"/>
    </w:pPr>
    <w:rPr>
      <w:rFonts w:ascii="宋体" w:eastAsia="宋体" w:cs="Times New Roman" w:hAnsi="Times New Roman"/>
      <w:b w:val="0"/>
      <w:i w:val="0"/>
      <w:caps w:val="0"/>
      <w:smallCaps w:val="0"/>
      <w:strike w:val="0"/>
      <w:dstrike w:val="0"/>
      <w:snapToGrid/>
      <w:vanish w:val="0"/>
      <w:color w:val="000000"/>
      <w:spacing w:val="0"/>
      <w:w w:val="100"/>
      <w:kern w:val="0"/>
      <w:position w:val="0"/>
      <w:sz w:val="24"/>
      <w:szCs w:val="21"/>
      <w:u w:val="none" w:color="auto"/>
      <w:vertAlign w:val="baseline"/>
      <w:em w:val="none"/>
      <w:lang w:val="en-US" w:eastAsia="zh-CN" w:bidi="ar-SA"/>
    </w:rPr>
  </w:style>
  <w:style w:type="paragraph" w:customStyle="1" w:styleId="79">
    <w:name w:val="样式 2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80">
    <w:name w:val="样式 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86">
    <w:name w:val="样式 7 小四"/>
    <w:pPr>
      <w:widowControl w:val="0"/>
      <w:spacing w:beforeAutospacing="1" w:afterAutospacing="1"/>
    </w:pPr>
    <w:rPr>
      <w:rFonts w:ascii="Times New Roman" w:eastAsia="宋体" w:cs="Times New Roman" w:hAnsi="Times New Roman"/>
      <w:sz w:val="24"/>
      <w:szCs w:val="3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customXml" Target="../customXml/item1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34925600-C03B-4A28-9222-C0ABFE2F8932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11398</TotalTime>
  <Application>Yozo_Office27021597764231179</Application>
  <Pages>6</Pages>
  <Words>0</Words>
  <Characters>1883</Characters>
  <Lines>0</Lines>
  <Paragraphs>24</Paragraphs>
  <CharactersWithSpaces>2511</CharactersWithSpaces>
  <Company>ccic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吕大良</dc:creator>
  <cp:lastModifiedBy>李汶校</cp:lastModifiedBy>
  <cp:revision>12</cp:revision>
  <cp:lastPrinted>2020-01-22T00:43:00Z</cp:lastPrinted>
  <dcterms:created xsi:type="dcterms:W3CDTF">2024-01-16T06:25:00Z</dcterms:created>
  <dcterms:modified xsi:type="dcterms:W3CDTF">2025-01-17T06:48:57Z</dcterms:modified>
</cp:coreProperties>
</file>