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39"/>
        <w:jc w:val="center"/>
        <w:rPr>
          <w:rFonts w:eastAsia="方正小标宋_GBK" w:cs="方正小标宋_GBK"/>
          <w:sz w:val="44"/>
          <w:szCs w:val="44"/>
        </w:rPr>
      </w:pPr>
      <w:bookmarkStart w:id="0" w:name="_Hlk25540369"/>
      <w:bookmarkStart w:id="1" w:name="cogw__正文__file"/>
      <w:r>
        <w:rPr>
          <w:rFonts w:eastAsia="方正小标宋_GBK" w:cs="方正小标宋_GBK" w:hint="eastAsia"/>
          <w:sz w:val="44"/>
          <w:szCs w:val="44"/>
        </w:rPr>
        <w:t>浑南海关202</w:t>
      </w:r>
      <w:r>
        <w:rPr>
          <w:rFonts w:eastAsia="方正小标宋_GBK" w:cs="方正小标宋_GBK"/>
          <w:sz w:val="44"/>
          <w:szCs w:val="44"/>
        </w:rPr>
        <w:t>3</w:t>
      </w:r>
      <w:r>
        <w:rPr>
          <w:rFonts w:eastAsia="方正小标宋_GBK" w:cs="方正小标宋_GBK" w:hint="eastAsia"/>
          <w:sz w:val="44"/>
          <w:szCs w:val="44"/>
        </w:rPr>
        <w:t>年政府信息公开工作年度报告</w:t>
      </w:r>
      <w:bookmarkEnd w:id="0"/>
    </w:p>
    <w:p>
      <w:pPr>
        <w:pStyle w:val="25"/>
        <w:widowControl/>
        <w:shd w:val="clear" w:color="auto" w:fill="FFFFFF"/>
        <w:adjustRightInd w:val="0"/>
        <w:snapToGrid w:val="0"/>
        <w:spacing w:beforeAutospacing="0" w:afterAutospacing="0" w:line="560" w:lineRule="exact"/>
        <w:jc w:val="both"/>
        <w:rPr>
          <w:rFonts w:eastAsia="楷体_GB2312" w:cs="楷体_GB2312"/>
          <w:bCs/>
          <w:sz w:val="32"/>
          <w:szCs w:val="32"/>
          <w:shd w:val="clear" w:color="auto" w:fill="FFFFFF"/>
        </w:rPr>
      </w:pPr>
    </w:p>
    <w:p>
      <w:pPr>
        <w:pStyle w:val="78"/>
        <w:widowControl/>
        <w:numPr>
          <w:ilvl w:val="0"/>
          <w:numId w:val="1"/>
        </w:numPr>
        <w:shd w:val="clear" w:color="auto" w:fill="FFFFFF"/>
        <w:adjustRightInd w:val="0"/>
        <w:snapToGrid w:val="0"/>
        <w:spacing w:beforeAutospacing="0" w:afterAutospacing="0" w:line="560" w:lineRule="exact"/>
        <w:jc w:val="both"/>
        <w:rPr>
          <w:rFonts w:eastAsia="方正黑体_GBK" w:cs="楷体_GB2312" w:hint="eastAsia"/>
          <w:bCs/>
          <w:sz w:val="32"/>
          <w:szCs w:val="32"/>
          <w:shd w:val="clear" w:color="auto" w:fill="FFFFFF"/>
        </w:rPr>
      </w:pPr>
      <w:r>
        <w:rPr>
          <w:rFonts w:eastAsia="方正黑体_GBK" w:cs="楷体_GB2312" w:hint="eastAsia"/>
          <w:bCs/>
          <w:sz w:val="32"/>
          <w:szCs w:val="32"/>
          <w:shd w:val="clear" w:color="auto" w:fill="FFFFFF"/>
        </w:rPr>
        <w:t>总体情况</w:t>
      </w:r>
    </w:p>
    <w:p>
      <w:pPr>
        <w:spacing w:line="560" w:lineRule="exact"/>
        <w:ind w:firstLineChars="200" w:firstLine="640"/>
        <w:rPr>
          <w:rFonts w:eastAsia="方正黑体_GBK" w:cs="楷体_GB2312"/>
          <w:bCs/>
          <w:szCs w:val="32"/>
          <w:shd w:val="clear" w:color="auto" w:fill="FFFFFF"/>
        </w:rPr>
      </w:pPr>
      <w:r>
        <w:rPr>
          <w:rFonts w:cs="Arial"/>
          <w:szCs w:val="32"/>
        </w:rPr>
        <w:t>2023年</w:t>
      </w:r>
      <w:r>
        <w:rPr>
          <w:rFonts w:cs="Arial" w:hint="eastAsia"/>
          <w:szCs w:val="32"/>
        </w:rPr>
        <w:t>，</w:t>
      </w:r>
      <w:r>
        <w:rPr>
          <w:rFonts w:hint="eastAsia"/>
          <w:szCs w:val="32"/>
        </w:rPr>
        <w:t>浑南海关始终坚持以习近平新时代中国特色社会主义思想为指导，</w:t>
      </w:r>
      <w:r>
        <w:rPr>
          <w:szCs w:val="32"/>
        </w:rPr>
        <w:t>认真</w:t>
      </w:r>
      <w:r>
        <w:rPr>
          <w:rFonts w:hint="eastAsia"/>
          <w:szCs w:val="32"/>
        </w:rPr>
        <w:t>学习贯彻党的二十大精神，</w:t>
      </w:r>
      <w:r>
        <w:rPr>
          <w:szCs w:val="32"/>
        </w:rPr>
        <w:t>扎实开展第二批主题教育，深入贯彻落实《中华人民共和国政府信息公开条例》，坚持以人民为中心的理念，规范工作流程、创新工作方法、加强政策解读、回应社会关切，</w:t>
      </w:r>
      <w:r>
        <w:rPr>
          <w:rFonts w:cs="Arial"/>
          <w:szCs w:val="32"/>
        </w:rPr>
        <w:t>持续打造服务型海关，不断推升海关政府信息公开工作规范化、透明化、便利化。</w:t>
      </w:r>
    </w:p>
    <w:p>
      <w:pPr>
        <w:spacing w:line="560" w:lineRule="exact"/>
        <w:ind w:firstLineChars="200" w:firstLine="640"/>
      </w:pPr>
      <w:r>
        <w:rPr>
          <w:rFonts w:eastAsia="方正楷体_GBK" w:hint="eastAsia"/>
          <w:b/>
        </w:rPr>
        <w:t>（一）</w:t>
      </w:r>
      <w:r>
        <w:rPr>
          <w:rFonts w:eastAsia="方正楷体_GBK"/>
          <w:b/>
        </w:rPr>
        <w:t>健全公开机制，持续提升政务公开规范水平。</w:t>
      </w:r>
      <w:r>
        <w:t>及时更新信息，依据工作职责设置专岗信息公开专员，负责本单位政府信息公开工作，根据工作职责动态更新浑南海关政务公开标准目录、政府信息公开指南，切实提升行政相对人获取信息的便捷性；畅通联系渠道，动态更新各业务科室咨询电话信息，严格落实首问负责制，接听电话关员秉持及时、高效、准确的原则答复相对人提出的问题，方便企业群众办事咨询；完善海关政府信息公开审查机制，按照</w:t>
      </w:r>
      <w:r>
        <w:rPr>
          <w:rFonts w:hint="eastAsia"/>
        </w:rPr>
        <w:t>“</w:t>
      </w:r>
      <w:r>
        <w:t>谁公开、谁负责</w:t>
      </w:r>
      <w:r>
        <w:rPr>
          <w:rFonts w:hint="eastAsia"/>
        </w:rPr>
        <w:t>”</w:t>
      </w:r>
      <w:r>
        <w:t>原则，严格做好</w:t>
      </w:r>
      <w:r>
        <w:rPr>
          <w:rFonts w:hint="eastAsia"/>
        </w:rPr>
        <w:t>“</w:t>
      </w:r>
      <w:r>
        <w:t>双随机、一公开</w:t>
      </w:r>
      <w:r>
        <w:rPr>
          <w:rFonts w:hint="eastAsia"/>
        </w:rPr>
        <w:t>”</w:t>
      </w:r>
      <w:r>
        <w:t>的信息公开审核把关工作，有效提升政府信息公开的工作质量。</w:t>
      </w:r>
    </w:p>
    <w:p>
      <w:pPr>
        <w:spacing w:line="560" w:lineRule="exact"/>
        <w:ind w:firstLineChars="200" w:firstLine="640"/>
      </w:pPr>
      <w:r>
        <w:rPr>
          <w:rFonts w:eastAsia="方正楷体_GBK" w:hint="eastAsia"/>
          <w:b/>
        </w:rPr>
        <w:t>（二）创新方式方法，不断开展政策解读</w:t>
      </w:r>
      <w:r>
        <w:rPr>
          <w:rFonts w:eastAsia="方正楷体_GBK"/>
          <w:b/>
        </w:rPr>
        <w:t>新闻宣传</w:t>
      </w:r>
      <w:r>
        <w:rPr>
          <w:rFonts w:eastAsia="方正楷体_GBK" w:hint="eastAsia"/>
          <w:b/>
        </w:rPr>
        <w:t>。</w:t>
      </w:r>
      <w:r>
        <w:t>善于运用</w:t>
      </w:r>
      <w:r>
        <w:rPr>
          <w:rFonts w:hint="eastAsia"/>
        </w:rPr>
        <w:t>“</w:t>
      </w:r>
      <w:r>
        <w:t>送策上门</w:t>
      </w:r>
      <w:r>
        <w:rPr>
          <w:rFonts w:hint="eastAsia"/>
        </w:rPr>
        <w:t>”</w:t>
      </w:r>
      <w:r>
        <w:t>创新政务公开方式，派员参加沈阳海关</w:t>
      </w:r>
      <w:r>
        <w:rPr>
          <w:rFonts w:hint="eastAsia"/>
        </w:rPr>
        <w:t>“</w:t>
      </w:r>
      <w:r>
        <w:t>关企零距离</w:t>
      </w:r>
      <w:r>
        <w:rPr>
          <w:rFonts w:hint="eastAsia"/>
        </w:rPr>
        <w:t>”</w:t>
      </w:r>
      <w:r>
        <w:t>活动解读《高级认证企业标准》贸易安全标准重点，联合沈阳市高新区经济发展局、浑南区商务局等政府部门共同举办海关减免税宣讲会，以通俗易懂的语言解读海关政策改革；持续扩大影响力和参与度，2023年在各类媒体播放及刊发稿件18篇、1篇稿件被沈阳海关12360服务热线公众号采用，围绕RCEP全面生效开展专题宣传，获得省、市级媒体的采访报道；持续开展主题宣传活动，围绕</w:t>
      </w:r>
      <w:r>
        <w:rPr>
          <w:rFonts w:hint="eastAsia"/>
        </w:rPr>
        <w:t>“8.8海关法治宣传日”“</w:t>
      </w:r>
      <w:r>
        <w:t>宪法宣传日</w:t>
      </w:r>
      <w:r>
        <w:rPr>
          <w:rFonts w:hint="eastAsia"/>
        </w:rPr>
        <w:t>”“</w:t>
      </w:r>
      <w:r>
        <w:t>国门生物安全日</w:t>
      </w:r>
      <w:r>
        <w:rPr>
          <w:rFonts w:hint="eastAsia"/>
        </w:rPr>
        <w:t>”</w:t>
      </w:r>
      <w:r>
        <w:t>等开展线下宣传和座谈，促进公众对海关工作职能的了解，有效搭建海关与企业群众的良性互动桥梁。</w:t>
      </w:r>
    </w:p>
    <w:p>
      <w:pPr>
        <w:pStyle w:val="72"/>
        <w:spacing w:line="560" w:lineRule="exact"/>
        <w:ind w:firstLineChars="200" w:firstLine="640"/>
      </w:pPr>
      <w:r>
        <w:rPr>
          <w:rFonts w:eastAsia="方正楷体_GBK" w:hint="eastAsia"/>
          <w:b/>
        </w:rPr>
        <w:t>（</w:t>
      </w:r>
      <w:r>
        <w:rPr>
          <w:rFonts w:eastAsia="方正楷体_GBK"/>
          <w:b/>
        </w:rPr>
        <w:t>三</w:t>
      </w:r>
      <w:r>
        <w:rPr>
          <w:rFonts w:eastAsia="方正楷体_GBK" w:hint="eastAsia"/>
          <w:b/>
        </w:rPr>
        <w:t>）坚持多向发力，</w:t>
      </w:r>
      <w:r>
        <w:rPr>
          <w:rFonts w:eastAsia="方正楷体_GBK"/>
          <w:b/>
        </w:rPr>
        <w:t>着力</w:t>
      </w:r>
      <w:r>
        <w:rPr>
          <w:rFonts w:eastAsia="方正楷体_GBK" w:hint="eastAsia"/>
          <w:b/>
        </w:rPr>
        <w:t>提升政务公开工作</w:t>
      </w:r>
      <w:r>
        <w:rPr>
          <w:rFonts w:eastAsia="方正楷体_GBK"/>
          <w:b/>
        </w:rPr>
        <w:t>效能</w:t>
      </w:r>
      <w:r>
        <w:rPr>
          <w:rFonts w:eastAsia="方正楷体_GBK" w:hint="eastAsia"/>
          <w:b/>
        </w:rPr>
        <w:t>。</w:t>
      </w:r>
      <w:r>
        <w:t>强化政务公开工作</w:t>
      </w:r>
      <w:r>
        <w:rPr>
          <w:rFonts w:hint="eastAsia"/>
        </w:rPr>
        <w:t>培训力度，注重</w:t>
      </w:r>
      <w:r>
        <w:t>提升</w:t>
      </w:r>
      <w:r>
        <w:rPr>
          <w:rFonts w:hint="eastAsia"/>
        </w:rPr>
        <w:t>执法一线科室人员政策解读</w:t>
      </w:r>
      <w:r>
        <w:t>能力</w:t>
      </w:r>
      <w:r>
        <w:rPr>
          <w:rFonts w:hint="eastAsia"/>
        </w:rPr>
        <w:t>，打通政策落实的“最后一公里”，确保沈阳海关政策措施在基层落实中不遗漏、不走样</w:t>
      </w:r>
      <w:r>
        <w:t>；结合第二批主题教育和专项监督开展实地调研86次，广泛收集辖区企业问题，</w:t>
      </w:r>
      <w:r>
        <w:rPr>
          <w:rFonts w:hint="eastAsia"/>
        </w:rPr>
        <w:t>及时通过业务条线进行反馈</w:t>
      </w:r>
      <w:r>
        <w:t>跟踪</w:t>
      </w:r>
      <w:r>
        <w:rPr>
          <w:rFonts w:hint="eastAsia"/>
        </w:rPr>
        <w:t>，</w:t>
      </w:r>
      <w:r>
        <w:t>切实落实问题清零，</w:t>
      </w:r>
      <w:r>
        <w:rPr>
          <w:rFonts w:hint="eastAsia"/>
        </w:rPr>
        <w:t>有效发挥政务公开对业务改革的反哺作用</w:t>
      </w:r>
      <w:r>
        <w:t>；完善政务公开相关配套措施，及时配置报关厅信息查询设备，检视更新场所内张贴的制度文件，落实</w:t>
      </w:r>
      <w:r>
        <w:rPr>
          <w:rFonts w:hint="eastAsia"/>
        </w:rPr>
        <w:t>“</w:t>
      </w:r>
      <w:r>
        <w:t>关长接待日</w:t>
      </w:r>
      <w:r>
        <w:rPr>
          <w:rFonts w:hint="eastAsia"/>
        </w:rPr>
        <w:t>”</w:t>
      </w:r>
      <w:r>
        <w:t>制度和信息发布，树立人民海关为人民的良好形象。</w:t>
      </w:r>
    </w:p>
    <w:p>
      <w:pPr>
        <w:pStyle w:val="33"/>
        <w:adjustRightInd w:val="0"/>
        <w:snapToGrid w:val="0"/>
        <w:spacing w:beforeLines="50" w:before="218" w:afterLines="50" w:after="218"/>
        <w:ind w:firstLineChars="200" w:firstLine="624"/>
        <w:rPr>
          <w:rFonts w:eastAsia="方正黑体_GBK" w:cs="楷体_GB2312"/>
          <w:bCs/>
          <w:szCs w:val="32"/>
          <w:shd w:val="clear" w:color="auto" w:fill="FFFFFF"/>
        </w:rPr>
      </w:pPr>
      <w:r>
        <w:rPr>
          <w:rFonts w:eastAsia="方正黑体_GBK" w:cs="楷体_GB2312" w:hint="eastAsia"/>
          <w:bCs/>
          <w:szCs w:val="32"/>
          <w:shd w:val="clear" w:color="auto" w:fill="FFFFFF"/>
        </w:rPr>
        <w:t>二、主动公开政府信息情况</w:t>
      </w:r>
    </w:p>
    <w:tbl>
      <w:tblPr>
        <w:jc w:val="center"/>
        <w:tblW w:w="89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20"/>
        <w:gridCol w:w="2183"/>
        <w:gridCol w:w="1936"/>
        <w:gridCol w:w="2156"/>
      </w:tblGrid>
      <w:tr>
        <w:trPr>
          <w:trHeight w:val="495"/>
        </w:trPr>
        <w:tc>
          <w:tcPr>
            <w:tcW w:w="89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cs="宋体" w:hint="eastAsia"/>
                <w:kern w:val="0"/>
                <w:sz w:val="24"/>
                <w:szCs w:val="24"/>
              </w:rPr>
              <w:t>第二十条第（一）项</w:t>
            </w:r>
          </w:p>
        </w:tc>
      </w:tr>
      <w:tr>
        <w:trPr>
          <w:trHeight w:val="68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cs="宋体" w:hint="eastAsia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21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cs="宋体" w:hint="eastAsia"/>
                <w:kern w:val="0"/>
                <w:sz w:val="24"/>
                <w:szCs w:val="24"/>
              </w:rPr>
              <w:t>本年</w:t>
            </w:r>
            <w:r>
              <w:rPr>
                <w:kern w:val="0"/>
                <w:sz w:val="24"/>
                <w:szCs w:val="24"/>
              </w:rPr>
              <w:t>制发件数</w:t>
            </w:r>
          </w:p>
        </w:tc>
        <w:tc>
          <w:tcPr>
            <w:tcW w:w="19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cs="宋体" w:hint="eastAsia"/>
                <w:kern w:val="0"/>
                <w:sz w:val="24"/>
                <w:szCs w:val="24"/>
              </w:rPr>
              <w:t>本年废止件</w:t>
            </w:r>
            <w:r>
              <w:rPr>
                <w:kern w:val="0"/>
                <w:sz w:val="24"/>
                <w:szCs w:val="24"/>
              </w:rPr>
              <w:t>数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cs="宋体" w:hint="eastAsia"/>
                <w:kern w:val="0"/>
                <w:sz w:val="24"/>
                <w:szCs w:val="24"/>
              </w:rPr>
              <w:t>现行有效件数</w:t>
            </w:r>
          </w:p>
        </w:tc>
      </w:tr>
      <w:tr>
        <w:trPr>
          <w:trHeight w:val="51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cs="宋体" w:hint="eastAsia"/>
                <w:kern w:val="0"/>
                <w:sz w:val="24"/>
                <w:szCs w:val="24"/>
              </w:rPr>
              <w:t>规章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rPr>
          <w:trHeight w:val="51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cs="宋体" w:hint="eastAsia"/>
                <w:kern w:val="0"/>
                <w:sz w:val="24"/>
                <w:szCs w:val="24"/>
              </w:rPr>
              <w:t>行政规范性文件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rPr>
          <w:trHeight w:val="435"/>
        </w:trPr>
        <w:tc>
          <w:tcPr>
            <w:tcW w:w="899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cs="宋体" w:hint="eastAsia"/>
                <w:kern w:val="0"/>
                <w:sz w:val="24"/>
                <w:szCs w:val="24"/>
              </w:rPr>
              <w:t>第二十条第（五）项</w:t>
            </w:r>
          </w:p>
        </w:tc>
      </w:tr>
      <w:tr>
        <w:trPr>
          <w:trHeight w:val="68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cs="宋体" w:hint="eastAsia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627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52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cs="宋体" w:hint="eastAsia"/>
                <w:kern w:val="0"/>
                <w:sz w:val="24"/>
                <w:szCs w:val="24"/>
              </w:rPr>
              <w:t>本年处理决定数量</w:t>
            </w:r>
          </w:p>
        </w:tc>
      </w:tr>
      <w:tr>
        <w:trPr>
          <w:trHeight w:val="51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cs="宋体" w:hint="eastAsia"/>
                <w:kern w:val="0"/>
                <w:sz w:val="24"/>
                <w:szCs w:val="24"/>
              </w:rPr>
              <w:t>行政许可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63"/>
              <w:jc w:val="center"/>
              <w:rPr>
                <w:rFonts w:eastAsia="方正仿宋_GBK" w:cs="宋体"/>
                <w:sz w:val="24"/>
                <w:szCs w:val="24"/>
              </w:rPr>
            </w:pPr>
            <w:r>
              <w:rPr>
                <w:rFonts w:eastAsia="方正仿宋_GBK" w:cs="宋体"/>
                <w:sz w:val="24"/>
                <w:szCs w:val="24"/>
              </w:rPr>
              <w:t>0</w:t>
            </w:r>
          </w:p>
        </w:tc>
      </w:tr>
      <w:tr>
        <w:trPr>
          <w:trHeight w:val="406"/>
        </w:trPr>
        <w:tc>
          <w:tcPr>
            <w:tcW w:w="899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cs="宋体" w:hint="eastAsia"/>
                <w:kern w:val="0"/>
                <w:sz w:val="24"/>
                <w:szCs w:val="24"/>
              </w:rPr>
              <w:t>第二十条第（六）项</w:t>
            </w:r>
          </w:p>
        </w:tc>
      </w:tr>
      <w:tr>
        <w:trPr>
          <w:trHeight w:val="68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cs="宋体" w:hint="eastAsia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627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55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cs="宋体" w:hint="eastAsia"/>
                <w:kern w:val="0"/>
                <w:sz w:val="24"/>
                <w:szCs w:val="24"/>
              </w:rPr>
              <w:t>本年处理决定数量</w:t>
            </w:r>
          </w:p>
        </w:tc>
      </w:tr>
      <w:tr>
        <w:trPr>
          <w:trHeight w:val="51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cs="宋体" w:hint="eastAsia"/>
                <w:kern w:val="0"/>
                <w:sz w:val="24"/>
                <w:szCs w:val="24"/>
              </w:rPr>
              <w:t>行政处罚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 w:cs="宋体"/>
                <w:sz w:val="24"/>
                <w:szCs w:val="24"/>
              </w:rPr>
            </w:pPr>
            <w:r>
              <w:rPr>
                <w:rFonts w:eastAsia="方正仿宋_GBK" w:cs="宋体"/>
                <w:sz w:val="24"/>
                <w:szCs w:val="24"/>
              </w:rPr>
              <w:t>3</w:t>
            </w:r>
          </w:p>
        </w:tc>
      </w:tr>
      <w:tr>
        <w:trPr>
          <w:trHeight w:val="51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cs="宋体" w:hint="eastAsia"/>
                <w:kern w:val="0"/>
                <w:sz w:val="24"/>
                <w:szCs w:val="24"/>
              </w:rPr>
              <w:t>行政强制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64"/>
              <w:jc w:val="center"/>
              <w:rPr>
                <w:rFonts w:eastAsia="方正仿宋_GBK" w:cs="宋体"/>
                <w:sz w:val="24"/>
                <w:szCs w:val="24"/>
              </w:rPr>
            </w:pPr>
            <w:r>
              <w:rPr>
                <w:rFonts w:eastAsia="方正仿宋_GBK" w:cs="宋体"/>
                <w:sz w:val="24"/>
                <w:szCs w:val="24"/>
              </w:rPr>
              <w:t>0</w:t>
            </w:r>
          </w:p>
        </w:tc>
      </w:tr>
      <w:tr>
        <w:trPr>
          <w:trHeight w:val="474"/>
        </w:trPr>
        <w:tc>
          <w:tcPr>
            <w:tcW w:w="899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cs="宋体" w:hint="eastAsia"/>
                <w:kern w:val="0"/>
                <w:sz w:val="24"/>
                <w:szCs w:val="24"/>
              </w:rPr>
              <w:t>第二十条第（八）项</w:t>
            </w:r>
          </w:p>
        </w:tc>
      </w:tr>
      <w:tr>
        <w:trPr>
          <w:trHeight w:val="68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cs="宋体" w:hint="eastAsia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59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cs="宋体" w:hint="eastAsia"/>
                <w:kern w:val="0"/>
                <w:sz w:val="24"/>
                <w:szCs w:val="24"/>
              </w:rPr>
              <w:t>本年收费金额（单位：万元）</w:t>
            </w:r>
          </w:p>
        </w:tc>
      </w:tr>
      <w:tr>
        <w:trPr>
          <w:trHeight w:val="51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adjustRightInd w:val="0"/>
              <w:snapToGrid w:val="0"/>
              <w:spacing w:line="260" w:lineRule="exact"/>
              <w:jc w:val="center"/>
            </w:pPr>
            <w:r>
              <w:rPr>
                <w:rFonts w:cs="宋体" w:hint="eastAsia"/>
                <w:kern w:val="0"/>
                <w:sz w:val="24"/>
                <w:szCs w:val="24"/>
              </w:rPr>
              <w:t>行政事业性收费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 w:cs="宋体"/>
                <w:sz w:val="24"/>
                <w:szCs w:val="24"/>
              </w:rPr>
            </w:pPr>
            <w:r>
              <w:rPr>
                <w:rFonts w:eastAsia="方正仿宋_GBK" w:cs="宋体"/>
                <w:sz w:val="24"/>
                <w:szCs w:val="24"/>
              </w:rPr>
              <w:t>0</w:t>
            </w:r>
          </w:p>
        </w:tc>
      </w:tr>
    </w:tbl>
    <w:p>
      <w:pPr>
        <w:pStyle w:val="16"/>
        <w:tabs>
          <w:tab w:val="center" w:pos="4153"/>
          <w:tab w:val="right" w:pos="8306"/>
        </w:tabs>
      </w:pPr>
    </w:p>
    <w:p>
      <w:pPr>
        <w:pStyle w:val="25"/>
        <w:widowControl/>
        <w:shd w:val="clear" w:color="auto" w:fill="FFFFFF"/>
        <w:adjustRightInd w:val="0"/>
        <w:snapToGrid w:val="0"/>
        <w:spacing w:beforeAutospacing="0" w:afterLines="50" w:after="218" w:afterAutospacing="0" w:line="560" w:lineRule="exact"/>
        <w:ind w:firstLineChars="200" w:firstLine="640"/>
        <w:jc w:val="both"/>
        <w:rPr>
          <w:rFonts w:eastAsia="方正黑体_GBK" w:cs="楷体_GB2312"/>
          <w:bCs/>
          <w:sz w:val="32"/>
          <w:szCs w:val="32"/>
          <w:shd w:val="clear" w:color="auto" w:fill="FFFFFF"/>
        </w:rPr>
      </w:pPr>
      <w:r>
        <w:rPr>
          <w:rFonts w:eastAsia="方正黑体_GBK" w:cs="楷体_GB2312" w:hint="eastAsia"/>
          <w:bCs/>
          <w:sz w:val="32"/>
          <w:szCs w:val="32"/>
          <w:shd w:val="clear" w:color="auto" w:fill="FFFFFF"/>
        </w:rPr>
        <w:t>三、收到和处理政府信息公开申请情况</w:t>
      </w:r>
    </w:p>
    <w:tbl>
      <w:tblPr>
        <w:jc w:val="center"/>
        <w:tblW w:w="90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6"/>
        <w:gridCol w:w="936"/>
        <w:gridCol w:w="2670"/>
        <w:gridCol w:w="635"/>
        <w:gridCol w:w="675"/>
        <w:gridCol w:w="750"/>
        <w:gridCol w:w="765"/>
        <w:gridCol w:w="765"/>
        <w:gridCol w:w="497"/>
        <w:gridCol w:w="682"/>
      </w:tblGrid>
      <w:tr>
        <w:trPr>
          <w:tblHeader/>
        </w:trPr>
        <w:tc>
          <w:tcPr>
            <w:tcW w:w="4302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</w:pPr>
            <w:r>
              <w:rPr>
                <w:rFonts w:cs="宋体" w:hint="eastAsia"/>
                <w:kern w:val="0"/>
                <w:sz w:val="20"/>
                <w:szCs w:val="20"/>
              </w:rPr>
              <w:t>（本列数据的勾稽关系为：第一项加第二项之和，等于第三项加第四项之和）</w:t>
            </w:r>
          </w:p>
        </w:tc>
        <w:tc>
          <w:tcPr>
            <w:tcW w:w="476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</w:pPr>
            <w:r>
              <w:rPr>
                <w:rFonts w:cs="宋体" w:hint="eastAsia"/>
                <w:kern w:val="0"/>
                <w:sz w:val="20"/>
                <w:szCs w:val="20"/>
              </w:rPr>
              <w:t>申请人情况</w:t>
            </w:r>
          </w:p>
        </w:tc>
      </w:tr>
      <w:tr>
        <w:trPr>
          <w:tblHeader/>
        </w:trPr>
        <w:tc>
          <w:tcPr>
            <w:tcW w:w="4302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63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</w:pPr>
            <w:r>
              <w:rPr>
                <w:rFonts w:cs="宋体" w:hint="eastAsia"/>
                <w:kern w:val="0"/>
                <w:sz w:val="20"/>
                <w:szCs w:val="20"/>
              </w:rPr>
              <w:t>自然人</w:t>
            </w:r>
          </w:p>
        </w:tc>
        <w:tc>
          <w:tcPr>
            <w:tcW w:w="3452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</w:pPr>
            <w:r>
              <w:rPr>
                <w:rFonts w:cs="宋体" w:hint="eastAsia"/>
                <w:kern w:val="0"/>
                <w:sz w:val="20"/>
                <w:szCs w:val="20"/>
              </w:rPr>
              <w:t>法人或其他组织</w:t>
            </w:r>
          </w:p>
        </w:tc>
        <w:tc>
          <w:tcPr>
            <w:tcW w:w="68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</w:pPr>
            <w:r>
              <w:rPr>
                <w:rFonts w:cs="宋体" w:hint="eastAsia"/>
                <w:kern w:val="0"/>
                <w:sz w:val="20"/>
                <w:szCs w:val="20"/>
              </w:rPr>
              <w:t>总计</w:t>
            </w:r>
          </w:p>
        </w:tc>
      </w:tr>
      <w:tr>
        <w:trPr>
          <w:trHeight w:val="649"/>
          <w:tblHeader/>
        </w:trPr>
        <w:tc>
          <w:tcPr>
            <w:tcW w:w="4302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63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</w:pPr>
            <w:r>
              <w:rPr>
                <w:rFonts w:cs="宋体" w:hint="eastAsia"/>
                <w:kern w:val="0"/>
                <w:sz w:val="20"/>
                <w:szCs w:val="20"/>
              </w:rPr>
              <w:t>商业企业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</w:pPr>
            <w:r>
              <w:rPr>
                <w:rFonts w:cs="宋体" w:hint="eastAsia"/>
                <w:kern w:val="0"/>
                <w:sz w:val="20"/>
                <w:szCs w:val="20"/>
              </w:rPr>
              <w:t>科研机构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</w:pPr>
            <w:r>
              <w:rPr>
                <w:rFonts w:cs="宋体" w:hint="eastAsia"/>
                <w:kern w:val="0"/>
                <w:sz w:val="20"/>
                <w:szCs w:val="20"/>
              </w:rPr>
              <w:t>社会公益组织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</w:pPr>
            <w:r>
              <w:rPr>
                <w:rFonts w:cs="宋体" w:hint="eastAsia"/>
                <w:kern w:val="0"/>
                <w:sz w:val="20"/>
                <w:szCs w:val="20"/>
              </w:rPr>
              <w:t>法律服务机构</w:t>
            </w:r>
          </w:p>
        </w:tc>
        <w:tc>
          <w:tcPr>
            <w:tcW w:w="4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</w:pPr>
            <w:r>
              <w:rPr>
                <w:rFonts w:cs="宋体" w:hint="eastAsia"/>
                <w:kern w:val="0"/>
                <w:sz w:val="20"/>
                <w:szCs w:val="20"/>
              </w:rPr>
              <w:t>其他</w:t>
            </w:r>
          </w:p>
        </w:tc>
        <w:tc>
          <w:tcPr>
            <w:tcW w:w="682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</w:tr>
      <w:tr>
        <w:tc>
          <w:tcPr>
            <w:tcW w:w="430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>
            <w:pPr>
              <w:pStyle w:val="28"/>
              <w:widowControl/>
              <w:jc w:val="left"/>
              <w:rPr>
                <w:sz w:val="24"/>
                <w:szCs w:val="24"/>
              </w:rPr>
            </w:pPr>
            <w:r>
              <w:rPr>
                <w:rFonts w:cs="宋体" w:hint="eastAsia"/>
                <w:kern w:val="0"/>
                <w:sz w:val="24"/>
                <w:szCs w:val="24"/>
              </w:rPr>
              <w:t>一、本年新收政府信息公开申请数量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430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>
            <w:pPr>
              <w:pStyle w:val="28"/>
              <w:widowControl/>
              <w:jc w:val="left"/>
              <w:rPr>
                <w:sz w:val="24"/>
                <w:szCs w:val="24"/>
              </w:rPr>
            </w:pPr>
            <w:r>
              <w:rPr>
                <w:rFonts w:cs="宋体" w:hint="eastAsia"/>
                <w:kern w:val="0"/>
                <w:sz w:val="24"/>
                <w:szCs w:val="24"/>
              </w:rPr>
              <w:t>二、上年结转政府信息公开申请数量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cs="宋体" w:hint="eastAsia"/>
                <w:kern w:val="0"/>
                <w:sz w:val="24"/>
                <w:szCs w:val="24"/>
              </w:rPr>
              <w:t>三、本年度办理结果</w:t>
            </w:r>
          </w:p>
        </w:tc>
        <w:tc>
          <w:tcPr>
            <w:tcW w:w="36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left"/>
              <w:rPr>
                <w:sz w:val="24"/>
                <w:szCs w:val="24"/>
              </w:rPr>
            </w:pPr>
            <w:r>
              <w:rPr>
                <w:rFonts w:eastAsia="楷体" w:cs="楷体" w:hint="eastAsia"/>
                <w:kern w:val="0"/>
                <w:sz w:val="24"/>
                <w:szCs w:val="24"/>
              </w:rPr>
              <w:t>（一）予以公开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36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left"/>
              <w:rPr>
                <w:sz w:val="24"/>
                <w:szCs w:val="24"/>
              </w:rPr>
            </w:pPr>
            <w:r>
              <w:rPr>
                <w:rFonts w:eastAsia="楷体" w:cs="楷体" w:hint="eastAsia"/>
                <w:kern w:val="0"/>
                <w:sz w:val="24"/>
                <w:szCs w:val="24"/>
              </w:rPr>
              <w:t>（二）部分公开（区分处理的，只计这一情形，不计其他情形）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rPr>
                <w:sz w:val="24"/>
                <w:szCs w:val="24"/>
              </w:rPr>
            </w:pPr>
            <w:r>
              <w:rPr>
                <w:rFonts w:eastAsia="楷体" w:cs="楷体" w:hint="eastAsia"/>
                <w:kern w:val="0"/>
                <w:sz w:val="24"/>
                <w:szCs w:val="24"/>
              </w:rPr>
              <w:t>（三）不予公开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rPr>
                <w:sz w:val="24"/>
                <w:szCs w:val="24"/>
              </w:rPr>
            </w:pPr>
            <w:r>
              <w:rPr>
                <w:rFonts w:eastAsia="楷体" w:cs="楷体" w:hint="eastAsia"/>
                <w:kern w:val="0"/>
                <w:sz w:val="24"/>
                <w:szCs w:val="24"/>
              </w:rPr>
              <w:t>1.属于国家秘密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rPr>
                <w:sz w:val="24"/>
                <w:szCs w:val="24"/>
              </w:rPr>
            </w:pPr>
            <w:r>
              <w:rPr>
                <w:rFonts w:eastAsia="楷体" w:cs="楷体" w:hint="eastAsia"/>
                <w:kern w:val="0"/>
                <w:sz w:val="24"/>
                <w:szCs w:val="24"/>
              </w:rPr>
              <w:t>2.其他法律行政法规禁止公开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rPr>
                <w:sz w:val="24"/>
                <w:szCs w:val="24"/>
              </w:rPr>
            </w:pPr>
            <w:r>
              <w:rPr>
                <w:rFonts w:eastAsia="楷体" w:cs="楷体" w:hint="eastAsia"/>
                <w:kern w:val="0"/>
                <w:sz w:val="24"/>
                <w:szCs w:val="24"/>
              </w:rPr>
              <w:t>3.危及“三安全一稳定”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rPr>
                <w:sz w:val="24"/>
                <w:szCs w:val="24"/>
              </w:rPr>
            </w:pPr>
            <w:r>
              <w:rPr>
                <w:rFonts w:eastAsia="楷体" w:cs="楷体" w:hint="eastAsia"/>
                <w:kern w:val="0"/>
                <w:sz w:val="24"/>
                <w:szCs w:val="24"/>
              </w:rPr>
              <w:t>4.保护第三方合法权益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rPr>
                <w:sz w:val="24"/>
                <w:szCs w:val="24"/>
              </w:rPr>
            </w:pPr>
            <w:r>
              <w:rPr>
                <w:rFonts w:eastAsia="楷体" w:cs="楷体" w:hint="eastAsia"/>
                <w:kern w:val="0"/>
                <w:sz w:val="24"/>
                <w:szCs w:val="24"/>
              </w:rPr>
              <w:t>5.属于三类内部事务信息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rPr>
                <w:sz w:val="24"/>
                <w:szCs w:val="24"/>
              </w:rPr>
            </w:pPr>
            <w:r>
              <w:rPr>
                <w:rFonts w:eastAsia="楷体" w:cs="楷体" w:hint="eastAsia"/>
                <w:kern w:val="0"/>
                <w:sz w:val="24"/>
                <w:szCs w:val="24"/>
              </w:rPr>
              <w:t>6.属于四类过程性信息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rPr>
                <w:sz w:val="24"/>
                <w:szCs w:val="24"/>
              </w:rPr>
            </w:pPr>
            <w:r>
              <w:rPr>
                <w:rFonts w:eastAsia="楷体" w:cs="楷体" w:hint="eastAsia"/>
                <w:kern w:val="0"/>
                <w:sz w:val="24"/>
                <w:szCs w:val="24"/>
              </w:rPr>
              <w:t>7.属于行政执法案卷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rPr>
                <w:sz w:val="24"/>
                <w:szCs w:val="24"/>
              </w:rPr>
            </w:pPr>
            <w:r>
              <w:rPr>
                <w:rFonts w:eastAsia="楷体" w:cs="楷体" w:hint="eastAsia"/>
                <w:kern w:val="0"/>
                <w:sz w:val="24"/>
                <w:szCs w:val="24"/>
              </w:rPr>
              <w:t>8.属于行政查询事项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rPr>
                <w:sz w:val="24"/>
                <w:szCs w:val="24"/>
              </w:rPr>
            </w:pPr>
            <w:r>
              <w:rPr>
                <w:rFonts w:eastAsia="楷体" w:cs="楷体" w:hint="eastAsia"/>
                <w:kern w:val="0"/>
                <w:sz w:val="24"/>
                <w:szCs w:val="24"/>
              </w:rPr>
              <w:t>（四）无法提供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rPr>
                <w:sz w:val="24"/>
                <w:szCs w:val="24"/>
              </w:rPr>
            </w:pPr>
            <w:r>
              <w:rPr>
                <w:rFonts w:eastAsia="楷体" w:cs="楷体" w:hint="eastAsia"/>
                <w:kern w:val="0"/>
                <w:sz w:val="24"/>
                <w:szCs w:val="24"/>
              </w:rPr>
              <w:t>1.本机关不掌握相关政府信息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rPr>
                <w:sz w:val="24"/>
                <w:szCs w:val="24"/>
              </w:rPr>
            </w:pPr>
            <w:r>
              <w:rPr>
                <w:rFonts w:eastAsia="楷体" w:cs="楷体" w:hint="eastAsia"/>
                <w:kern w:val="0"/>
                <w:sz w:val="24"/>
                <w:szCs w:val="24"/>
              </w:rPr>
              <w:t>2.没有现成信息需要另行制作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rPr>
                <w:sz w:val="24"/>
                <w:szCs w:val="24"/>
              </w:rPr>
            </w:pPr>
            <w:r>
              <w:rPr>
                <w:rFonts w:eastAsia="楷体" w:cs="楷体" w:hint="eastAsia"/>
                <w:kern w:val="0"/>
                <w:sz w:val="24"/>
                <w:szCs w:val="24"/>
              </w:rPr>
              <w:t>3.补正后申请内容仍不明确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rPr>
                <w:sz w:val="24"/>
                <w:szCs w:val="24"/>
              </w:rPr>
            </w:pPr>
            <w:r>
              <w:rPr>
                <w:rFonts w:eastAsia="楷体" w:cs="楷体" w:hint="eastAsia"/>
                <w:kern w:val="0"/>
                <w:sz w:val="24"/>
                <w:szCs w:val="24"/>
              </w:rPr>
              <w:t>（五）不予处理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rPr>
                <w:sz w:val="24"/>
                <w:szCs w:val="24"/>
              </w:rPr>
            </w:pPr>
            <w:r>
              <w:rPr>
                <w:rFonts w:eastAsia="楷体" w:cs="楷体" w:hint="eastAsia"/>
                <w:kern w:val="0"/>
                <w:sz w:val="24"/>
                <w:szCs w:val="24"/>
              </w:rPr>
              <w:t>1.信访举报投诉类申请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rPr>
                <w:sz w:val="24"/>
                <w:szCs w:val="24"/>
              </w:rPr>
            </w:pPr>
            <w:r>
              <w:rPr>
                <w:rFonts w:eastAsia="楷体" w:cs="楷体" w:hint="eastAsia"/>
                <w:kern w:val="0"/>
                <w:sz w:val="24"/>
                <w:szCs w:val="24"/>
              </w:rPr>
              <w:t>2.重复申请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rPr>
                <w:sz w:val="24"/>
                <w:szCs w:val="24"/>
              </w:rPr>
            </w:pPr>
            <w:r>
              <w:rPr>
                <w:rFonts w:eastAsia="楷体" w:cs="楷体" w:hint="eastAsia"/>
                <w:kern w:val="0"/>
                <w:sz w:val="24"/>
                <w:szCs w:val="24"/>
              </w:rPr>
              <w:t>3.要求提供公开出版物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rPr>
          <w:trHeight w:val="810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rPr>
                <w:sz w:val="24"/>
                <w:szCs w:val="24"/>
              </w:rPr>
            </w:pPr>
            <w:r>
              <w:rPr>
                <w:rFonts w:eastAsia="楷体" w:cs="楷体" w:hint="eastAsia"/>
                <w:kern w:val="0"/>
                <w:sz w:val="24"/>
                <w:szCs w:val="24"/>
              </w:rPr>
              <w:t>4.无正当理由大量反复申请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rPr>
                <w:sz w:val="24"/>
                <w:szCs w:val="24"/>
              </w:rPr>
            </w:pPr>
            <w:r>
              <w:rPr>
                <w:rFonts w:eastAsia="楷体" w:cs="楷体" w:hint="eastAsia"/>
                <w:kern w:val="0"/>
                <w:sz w:val="24"/>
                <w:szCs w:val="24"/>
              </w:rPr>
              <w:t>5.要求行政机关确认或重新出具已获取信息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rPr>
          <w:trHeight w:val="567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rPr>
                <w:sz w:val="24"/>
                <w:szCs w:val="24"/>
              </w:rPr>
            </w:pPr>
            <w:r>
              <w:rPr>
                <w:rFonts w:eastAsia="楷体" w:cs="楷体" w:hint="eastAsia"/>
                <w:kern w:val="0"/>
                <w:sz w:val="24"/>
                <w:szCs w:val="24"/>
              </w:rPr>
              <w:t>（六）其他处理</w:t>
            </w:r>
          </w:p>
        </w:tc>
        <w:tc>
          <w:tcPr>
            <w:tcW w:w="2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>
            <w:pPr>
              <w:pStyle w:val="28"/>
              <w:widowControl/>
              <w:rPr>
                <w:rFonts w:eastAsia="楷体" w:cs="楷体"/>
                <w:kern w:val="0"/>
                <w:sz w:val="24"/>
                <w:szCs w:val="24"/>
              </w:rPr>
            </w:pPr>
            <w:r>
              <w:rPr>
                <w:rFonts w:eastAsia="楷体" w:cs="楷体" w:hint="eastAsia"/>
                <w:kern w:val="0"/>
                <w:sz w:val="24"/>
                <w:szCs w:val="24"/>
              </w:rPr>
              <w:t>1.申请人无正当理由逾期不补正、行政机关不再处理其政府信息公开申请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rPr>
          <w:trHeight w:val="567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/>
        </w:tc>
        <w:tc>
          <w:tcPr>
            <w:tcW w:w="2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>
            <w:pPr>
              <w:pStyle w:val="28"/>
              <w:widowControl/>
              <w:rPr>
                <w:rFonts w:eastAsia="楷体" w:cs="楷体"/>
                <w:kern w:val="0"/>
                <w:sz w:val="24"/>
                <w:szCs w:val="24"/>
              </w:rPr>
            </w:pPr>
            <w:r>
              <w:rPr>
                <w:rFonts w:eastAsia="楷体" w:cs="楷体" w:hint="eastAsia"/>
                <w:kern w:val="0"/>
                <w:sz w:val="24"/>
                <w:szCs w:val="24"/>
              </w:rPr>
              <w:t>2.申请人逾期未按收费通知要求缴纳费用、行政机关不再处理其政府信息公开申请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rPr>
          <w:trHeight w:val="567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/>
        </w:tc>
        <w:tc>
          <w:tcPr>
            <w:tcW w:w="2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>
            <w:pPr>
              <w:pStyle w:val="28"/>
              <w:widowControl/>
              <w:rPr>
                <w:rFonts w:eastAsia="楷体" w:cs="楷体"/>
                <w:kern w:val="0"/>
                <w:sz w:val="24"/>
                <w:szCs w:val="24"/>
              </w:rPr>
            </w:pPr>
            <w:r>
              <w:rPr>
                <w:rFonts w:eastAsia="楷体" w:cs="楷体" w:hint="eastAsia"/>
                <w:kern w:val="0"/>
                <w:sz w:val="24"/>
                <w:szCs w:val="24"/>
              </w:rPr>
              <w:t>3.咨询事项，指引咨询渠道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rPr>
          <w:trHeight w:val="567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/>
        </w:tc>
        <w:tc>
          <w:tcPr>
            <w:tcW w:w="2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>
            <w:pPr>
              <w:pStyle w:val="28"/>
              <w:widowControl/>
              <w:rPr>
                <w:rFonts w:eastAsia="楷体" w:cs="楷体"/>
                <w:kern w:val="0"/>
                <w:sz w:val="24"/>
                <w:szCs w:val="24"/>
              </w:rPr>
            </w:pPr>
            <w:r>
              <w:rPr>
                <w:rFonts w:eastAsia="楷体" w:cs="楷体" w:hint="eastAsia"/>
                <w:kern w:val="0"/>
                <w:sz w:val="24"/>
                <w:szCs w:val="24"/>
              </w:rPr>
              <w:t>4.申请人撤销申请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36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rPr>
                <w:sz w:val="24"/>
                <w:szCs w:val="24"/>
              </w:rPr>
            </w:pPr>
            <w:r>
              <w:rPr>
                <w:rFonts w:eastAsia="楷体" w:cs="楷体" w:hint="eastAsia"/>
                <w:kern w:val="0"/>
                <w:sz w:val="24"/>
                <w:szCs w:val="24"/>
              </w:rPr>
              <w:t>（七）总计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430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left"/>
            </w:pPr>
            <w:r>
              <w:rPr>
                <w:rFonts w:cs="宋体" w:hint="eastAsia"/>
                <w:kern w:val="0"/>
                <w:sz w:val="24"/>
                <w:szCs w:val="24"/>
              </w:rPr>
              <w:t>四、结转下年度继续办理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</w:tbl>
    <w:p>
      <w:pPr>
        <w:pStyle w:val="25"/>
        <w:widowControl/>
        <w:shd w:val="clear" w:color="auto" w:fill="FFFFFF"/>
        <w:spacing w:beforeLines="50" w:before="218" w:beforeAutospacing="0" w:after="120" w:afterAutospacing="0"/>
        <w:ind w:firstLineChars="200" w:firstLine="640"/>
        <w:jc w:val="both"/>
        <w:rPr>
          <w:rFonts w:cs="宋体"/>
          <w:szCs w:val="24"/>
        </w:rPr>
      </w:pPr>
      <w:r>
        <w:rPr>
          <w:rFonts w:eastAsia="方正黑体_GBK" w:cs="楷体_GB2312" w:hint="eastAsia"/>
          <w:bCs/>
          <w:sz w:val="32"/>
          <w:szCs w:val="32"/>
          <w:shd w:val="clear" w:color="auto" w:fill="FFFFFF"/>
        </w:rPr>
        <w:t>四、政府信息公开行政复议、行政诉讼情况</w:t>
      </w:r>
    </w:p>
    <w:tbl>
      <w:tblPr>
        <w:jc w:val="center"/>
        <w:tblW w:w="90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4"/>
        <w:gridCol w:w="604"/>
        <w:gridCol w:w="604"/>
        <w:gridCol w:w="604"/>
        <w:gridCol w:w="658"/>
        <w:gridCol w:w="550"/>
        <w:gridCol w:w="605"/>
        <w:gridCol w:w="605"/>
        <w:gridCol w:w="605"/>
        <w:gridCol w:w="605"/>
        <w:gridCol w:w="605"/>
        <w:gridCol w:w="605"/>
        <w:gridCol w:w="605"/>
        <w:gridCol w:w="606"/>
        <w:gridCol w:w="606"/>
      </w:tblGrid>
      <w:tr>
        <w:tc>
          <w:tcPr>
            <w:tcW w:w="307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cs="宋体" w:hint="eastAsia"/>
                <w:kern w:val="0"/>
                <w:sz w:val="24"/>
                <w:szCs w:val="24"/>
              </w:rPr>
              <w:t>行政复议</w:t>
            </w:r>
          </w:p>
        </w:tc>
        <w:tc>
          <w:tcPr>
            <w:tcW w:w="5997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cs="宋体" w:hint="eastAsia"/>
                <w:kern w:val="0"/>
                <w:sz w:val="24"/>
                <w:szCs w:val="24"/>
              </w:rPr>
              <w:t>行政诉讼</w:t>
            </w:r>
          </w:p>
        </w:tc>
      </w:tr>
      <w:tr>
        <w:tc>
          <w:tcPr>
            <w:tcW w:w="604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cs="宋体" w:hint="eastAsia"/>
                <w:kern w:val="0"/>
                <w:sz w:val="24"/>
                <w:szCs w:val="24"/>
              </w:rPr>
              <w:t>结果维持</w:t>
            </w:r>
          </w:p>
        </w:tc>
        <w:tc>
          <w:tcPr>
            <w:tcW w:w="604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cs="宋体" w:hint="eastAsia"/>
                <w:kern w:val="0"/>
                <w:sz w:val="24"/>
                <w:szCs w:val="24"/>
              </w:rPr>
              <w:t>结果纠正</w:t>
            </w:r>
          </w:p>
        </w:tc>
        <w:tc>
          <w:tcPr>
            <w:tcW w:w="60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cs="宋体" w:hint="eastAsia"/>
                <w:kern w:val="0"/>
                <w:sz w:val="24"/>
                <w:szCs w:val="24"/>
              </w:rPr>
              <w:t>其他结果</w:t>
            </w:r>
          </w:p>
        </w:tc>
        <w:tc>
          <w:tcPr>
            <w:tcW w:w="60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cs="宋体" w:hint="eastAsia"/>
                <w:kern w:val="0"/>
                <w:sz w:val="24"/>
                <w:szCs w:val="24"/>
              </w:rPr>
              <w:t>尚未审结</w:t>
            </w:r>
          </w:p>
        </w:tc>
        <w:tc>
          <w:tcPr>
            <w:tcW w:w="65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cs="宋体" w:hint="eastAsia"/>
                <w:kern w:val="0"/>
                <w:sz w:val="24"/>
                <w:szCs w:val="24"/>
              </w:rPr>
              <w:t>总计</w:t>
            </w:r>
          </w:p>
        </w:tc>
        <w:tc>
          <w:tcPr>
            <w:tcW w:w="297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cs="宋体" w:hint="eastAsia"/>
                <w:kern w:val="0"/>
                <w:sz w:val="24"/>
                <w:szCs w:val="24"/>
              </w:rPr>
              <w:t>未经复议直接起诉</w:t>
            </w:r>
          </w:p>
        </w:tc>
        <w:tc>
          <w:tcPr>
            <w:tcW w:w="3027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cs="宋体" w:hint="eastAsia"/>
                <w:kern w:val="0"/>
                <w:sz w:val="24"/>
                <w:szCs w:val="24"/>
              </w:rPr>
              <w:t>复议后起诉</w:t>
            </w:r>
          </w:p>
        </w:tc>
      </w:tr>
      <w:tr>
        <w:tc>
          <w:tcPr>
            <w:tcW w:w="60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604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60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60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658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cs="宋体" w:hint="eastAsia"/>
                <w:kern w:val="0"/>
                <w:sz w:val="24"/>
                <w:szCs w:val="24"/>
              </w:rPr>
              <w:t>结果维持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cs="宋体" w:hint="eastAsia"/>
                <w:kern w:val="0"/>
                <w:sz w:val="24"/>
                <w:szCs w:val="24"/>
              </w:rPr>
              <w:t>结果纠正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cs="宋体" w:hint="eastAsia"/>
                <w:kern w:val="0"/>
                <w:sz w:val="24"/>
                <w:szCs w:val="24"/>
              </w:rPr>
              <w:t>其他结果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cs="宋体" w:hint="eastAsia"/>
                <w:kern w:val="0"/>
                <w:sz w:val="24"/>
                <w:szCs w:val="24"/>
              </w:rPr>
              <w:t>尚未审结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cs="宋体" w:hint="eastAsia"/>
                <w:kern w:val="0"/>
                <w:sz w:val="24"/>
                <w:szCs w:val="24"/>
              </w:rPr>
              <w:t>总计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cs="宋体" w:hint="eastAsia"/>
                <w:kern w:val="0"/>
                <w:sz w:val="24"/>
                <w:szCs w:val="24"/>
              </w:rPr>
              <w:t>结果维持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cs="宋体" w:hint="eastAsia"/>
                <w:kern w:val="0"/>
                <w:sz w:val="24"/>
                <w:szCs w:val="24"/>
              </w:rPr>
              <w:t>结果纠正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cs="宋体" w:hint="eastAsia"/>
                <w:kern w:val="0"/>
                <w:sz w:val="24"/>
                <w:szCs w:val="24"/>
              </w:rPr>
              <w:t>其他结果</w:t>
            </w:r>
          </w:p>
        </w:tc>
        <w:tc>
          <w:tcPr>
            <w:tcW w:w="6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cs="宋体" w:hint="eastAsia"/>
                <w:kern w:val="0"/>
                <w:sz w:val="24"/>
                <w:szCs w:val="24"/>
              </w:rPr>
              <w:t>尚未审结</w:t>
            </w:r>
          </w:p>
        </w:tc>
        <w:tc>
          <w:tcPr>
            <w:tcW w:w="6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cs="宋体" w:hint="eastAsia"/>
                <w:kern w:val="0"/>
                <w:sz w:val="24"/>
                <w:szCs w:val="24"/>
              </w:rPr>
              <w:t>总计</w:t>
            </w:r>
          </w:p>
        </w:tc>
      </w:tr>
      <w:tr>
        <w:trPr>
          <w:trHeight w:val="862"/>
        </w:trPr>
        <w:tc>
          <w:tcPr>
            <w:tcW w:w="6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</w:tr>
    </w:tbl>
    <w:p>
      <w:pPr>
        <w:pStyle w:val="25"/>
        <w:widowControl/>
        <w:shd w:val="clear" w:color="auto" w:fill="FFFFFF"/>
        <w:spacing w:beforeLines="50" w:before="218" w:beforeAutospacing="0" w:afterAutospacing="0" w:line="560" w:lineRule="exact"/>
        <w:ind w:firstLineChars="200" w:firstLine="640"/>
        <w:jc w:val="both"/>
        <w:rPr>
          <w:rFonts w:eastAsia="方正黑体_GBK" w:cs="楷体_GB2312"/>
          <w:bCs/>
          <w:sz w:val="32"/>
          <w:szCs w:val="32"/>
          <w:shd w:val="clear" w:color="auto" w:fill="FFFFFF"/>
        </w:rPr>
      </w:pPr>
      <w:r>
        <w:rPr>
          <w:rFonts w:eastAsia="方正黑体_GBK" w:cs="楷体_GB2312" w:hint="eastAsia"/>
          <w:bCs/>
          <w:sz w:val="32"/>
          <w:szCs w:val="32"/>
          <w:shd w:val="clear" w:color="auto" w:fill="FFFFFF"/>
        </w:rPr>
        <w:t>五、存在的主要问题及改进情况</w:t>
      </w:r>
    </w:p>
    <w:p>
      <w:pPr>
        <w:pStyle w:val="41"/>
        <w:adjustRightInd w:val="0"/>
        <w:snapToGrid w:val="0"/>
        <w:ind w:firstLineChars="200" w:firstLine="640"/>
        <w:rPr>
          <w:rFonts w:eastAsia="方正楷体_GBK"/>
          <w:b/>
          <w:bCs/>
          <w:spacing w:val="0"/>
        </w:rPr>
      </w:pPr>
      <w:r>
        <w:rPr>
          <w:rFonts w:eastAsia="方正楷体_GBK" w:hint="eastAsia"/>
          <w:b/>
          <w:bCs/>
          <w:spacing w:val="0"/>
        </w:rPr>
        <w:t>（一）202</w:t>
      </w:r>
      <w:r>
        <w:rPr>
          <w:rFonts w:eastAsia="方正楷体_GBK"/>
          <w:b/>
          <w:bCs/>
          <w:spacing w:val="0"/>
        </w:rPr>
        <w:t>2</w:t>
      </w:r>
      <w:r>
        <w:rPr>
          <w:rFonts w:eastAsia="方正楷体_GBK" w:hint="eastAsia"/>
          <w:b/>
          <w:bCs/>
          <w:spacing w:val="0"/>
        </w:rPr>
        <w:t>年政府信息公开年报提及问题整改情况。</w:t>
      </w:r>
    </w:p>
    <w:p>
      <w:pPr>
        <w:pStyle w:val="41"/>
        <w:adjustRightInd w:val="0"/>
        <w:snapToGrid w:val="0"/>
        <w:ind w:firstLineChars="200" w:firstLine="624"/>
        <w:rPr>
          <w:bCs/>
        </w:rPr>
      </w:pPr>
      <w:r>
        <w:rPr>
          <w:rFonts w:cs="楷体_GB2312"/>
          <w:bCs/>
        </w:rPr>
        <w:t>2022年提及问题：</w:t>
      </w:r>
      <w:r>
        <w:rPr>
          <w:szCs w:val="32"/>
        </w:rPr>
        <w:t>尚未设置专岗人员从事政府信息审核，亟待加强相关培训，防范因政府信息公开事项引发复议、诉讼风险。</w:t>
      </w:r>
      <w:r>
        <w:rPr>
          <w:bCs/>
        </w:rPr>
        <w:t>对此，改进措施为：设置专岗人员作为政府信息工作专员，积极参与关区组织的政府信息公开实务培训，加强横向政务公开人员联系配合，持续推进基层海关政务公开标准化规范化水平。</w:t>
      </w:r>
    </w:p>
    <w:p>
      <w:pPr>
        <w:pStyle w:val="41"/>
        <w:adjustRightInd w:val="0"/>
        <w:snapToGrid w:val="0"/>
        <w:ind w:firstLineChars="200" w:firstLine="640"/>
        <w:rPr>
          <w:rFonts w:eastAsia="方正楷体_GBK" w:cs="楷体_GB2312"/>
          <w:b/>
          <w:bCs/>
          <w:spacing w:val="0"/>
        </w:rPr>
      </w:pPr>
      <w:r>
        <w:rPr>
          <w:rFonts w:eastAsia="方正楷体_GBK" w:cs="楷体_GB2312" w:hint="eastAsia"/>
          <w:b/>
          <w:bCs/>
          <w:spacing w:val="0"/>
        </w:rPr>
        <w:t>（二）目前存在的问题。</w:t>
      </w:r>
      <w:r>
        <w:rPr>
          <w:rFonts w:cs="楷体_GB2312"/>
          <w:bCs/>
          <w:szCs w:val="32"/>
        </w:rPr>
        <w:t>我关在调动社会公众参与的积极性还有待提升，需进一步引导企业增进对海关业务改革的了解，多形式搭建海关与社会公众的良性沟通。</w:t>
      </w:r>
    </w:p>
    <w:p>
      <w:pPr>
        <w:pStyle w:val="25"/>
        <w:widowControl/>
        <w:shd w:val="clear" w:color="auto" w:fill="FFFFFF"/>
        <w:spacing w:beforeAutospacing="0" w:afterAutospacing="0" w:line="560" w:lineRule="exact"/>
        <w:ind w:firstLineChars="200" w:firstLine="640"/>
        <w:jc w:val="both"/>
        <w:rPr>
          <w:rFonts w:eastAsia="方正黑体_GBK" w:cs="楷体_GB2312"/>
          <w:bCs/>
          <w:sz w:val="32"/>
          <w:szCs w:val="32"/>
          <w:shd w:val="clear" w:color="auto" w:fill="FFFFFF"/>
        </w:rPr>
      </w:pPr>
      <w:r>
        <w:rPr>
          <w:rFonts w:eastAsia="方正黑体_GBK" w:cs="楷体_GB2312"/>
          <w:bCs/>
          <w:sz w:val="32"/>
          <w:szCs w:val="32"/>
          <w:shd w:val="clear" w:color="auto" w:fill="FFFFFF"/>
        </w:rPr>
        <w:t>六</w:t>
      </w:r>
      <w:r>
        <w:rPr>
          <w:rFonts w:eastAsia="方正黑体_GBK" w:cs="楷体_GB2312" w:hint="eastAsia"/>
          <w:bCs/>
          <w:sz w:val="32"/>
          <w:szCs w:val="32"/>
          <w:shd w:val="clear" w:color="auto" w:fill="FFFFFF"/>
        </w:rPr>
        <w:t>、其他需要报告的事项</w:t>
      </w:r>
      <w:bookmarkEnd w:id="1"/>
    </w:p>
    <w:p>
      <w:pPr>
        <w:pStyle w:val="40"/>
        <w:adjustRightInd w:val="0"/>
        <w:snapToGrid w:val="0"/>
        <w:ind w:firstLineChars="200" w:firstLine="624"/>
      </w:pPr>
      <w:r>
        <w:t>浑南海关2023年未收取信息处理费。</w:t>
      </w:r>
    </w:p>
    <w:p>
      <w:pPr>
        <w:pStyle w:val="40"/>
        <w:adjustRightInd w:val="0"/>
        <w:snapToGrid w:val="0"/>
        <w:ind w:firstLineChars="200" w:firstLine="624"/>
      </w:pPr>
    </w:p>
    <w:p>
      <w:pPr>
        <w:pStyle w:val="40"/>
        <w:adjustRightInd w:val="0"/>
        <w:snapToGrid w:val="0"/>
        <w:ind w:firstLineChars="200" w:firstLine="624"/>
      </w:pPr>
    </w:p>
    <w:p>
      <w:pPr>
        <w:pStyle w:val="40"/>
        <w:adjustRightInd w:val="0"/>
        <w:snapToGrid w:val="0"/>
        <w:ind w:firstLineChars="200" w:firstLine="624"/>
      </w:pPr>
      <w:r>
        <w:rPr>
          <w:rFonts w:hint="eastAsia"/>
        </w:rPr>
        <w:t xml:space="preserve">                            </w:t>
      </w:r>
      <w:r>
        <w:t xml:space="preserve">            </w:t>
      </w:r>
      <w:bookmarkStart w:id="2" w:name="_GoBack"/>
      <w:bookmarkEnd w:id="2"/>
    </w:p>
    <w:sectPr>
      <w:footerReference w:type="first" r:id="rId2"/>
      <w:pgSz w:w="11906" w:h="16838"/>
      <w:pgMar w:top="2098" w:right="1474" w:bottom="1985" w:left="1588" w:header="851" w:footer="992" w:gutter="0"/>
      <w:pgNumType w:fmt="numberInDash" w:start="1"/>
      <w:docGrid w:type="lines" w:linePitch="435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楷体_GB2312">
    <w:altName w:val="楷体"/>
    <w:panose1 w:val="00000000000000000000"/>
    <w:charset w:val="00"/>
    <w:family w:val="auto"/>
    <w:pitch w:val="variable"/>
  </w:font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楷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6"/>
      <w:tabs>
        <w:tab w:val="center" w:pos="4153"/>
        <w:tab w:val="right" w:pos="8306"/>
      </w:tabs>
      <w:jc w:val="right"/>
    </w:pPr>
    <w:r>
      <w:fldChar w:fldCharType="begin"/>
    </w:r>
    <w:r>
      <w:instrText>Page</w:instrText>
    </w:r>
    <w:r>
      <w:fldChar w:fldCharType="separate"/>
    </w:r>
    <w:r>
      <w:t>- 1 -</w:t>
    </w:r>
    <w:r>
      <w:fldChar w:fldCharType="end"/>
    </w:r>
    <w:r>
      <w:fldChar w:fldCharType="begin"/>
    </w:r>
    <w:r>
      <w:instrText>NumPages</w:instrText>
    </w:r>
    <w:r>
      <w:fldChar w:fldCharType="separate"/>
    </w:r>
    <w:r>
      <w:t>2</w:t>
    </w:r>
    <w:r>
      <w:fldChar w:fldCharType="end"/>
    </w:r>
    <w:r>
      <w:fldChar w:fldCharType="begin"/>
    </w:r>
    <w:r>
      <w:instrText>Page</w:instrText>
    </w:r>
    <w:r>
      <w:fldChar w:fldCharType="separate"/>
    </w:r>
    <w:r>
      <w:t>- 1 -</w:t>
    </w:r>
    <w:r>
      <w:fldChar w:fldCharType="end"/>
    </w:r>
    <w:r>
      <w:fldChar w:fldCharType="begin"/>
    </w:r>
    <w:r>
      <w:instrText>Page</w:instrText>
    </w:r>
    <w:r>
      <w:fldChar w:fldCharType="separate"/>
    </w:r>
    <w:r>
      <w:t>- 1 -</w:t>
    </w:r>
    <w:r>
      <w:fldChar w:fldCharType="end"/>
    </w:r>
  </w:p>
  <w:p>
    <w:pPr>
      <w:pStyle w:val="16"/>
      <w:tabs>
        <w:tab w:val="center" w:pos="4153"/>
        <w:tab w:val="right" w:pos="8306"/>
      </w:tabs>
    </w:pP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abstractNum w:abstractNumId="0">
    <w:nsid w:val="0C27257B"/>
    <w:multiLevelType w:val="hybridMultilevel"/>
    <w:tmpl w:val="00000000"/>
    <w:lvl w:ilvl="0">
      <w:start w:val="1"/>
      <w:numFmt w:val="chineseCountingThousand"/>
      <w:lvlRestart w:val="0"/>
      <w:lvlText w:val="%1、"/>
      <w:lvlJc w:val="left"/>
      <w:pPr>
        <w:tabs>
          <w:tab w:val="num" w:pos="1280"/>
        </w:tabs>
        <w:ind w:left="1280" w:hanging="640"/>
      </w:pPr>
      <w:rPr>
        <w:rFonts w:ascii="方正黑体_GBK" w:hAnsi="方正黑体_GBK" w:eastAsia="方正黑体_GBK" w:cs="楷体_GB2312" w:hint="default"/>
        <w:bCs/>
        <w:iCs w:val="0"/>
        <w:sz w:val="32"/>
        <w:szCs w:val="32"/>
      </w:rPr>
    </w:lvl>
    <w:lvl w:ilvl="1">
      <w:start w:val="1"/>
      <w:numFmt w:val="lowerLetter"/>
      <w:lvlText w:val="%2)"/>
      <w:lvlJc w:val="left"/>
      <w:pPr>
        <w:tabs>
          <w:tab w:val="num" w:pos="1480"/>
        </w:tabs>
        <w:ind w:left="1480" w:hanging="420"/>
      </w:pPr>
    </w:lvl>
    <w:lvl w:ilvl="2">
      <w:start w:val="1"/>
      <w:numFmt w:val="lowerRoman"/>
      <w:lvlText w:val="%3."/>
      <w:lvlJc w:val="right"/>
      <w:pPr>
        <w:tabs>
          <w:tab w:val="num" w:pos="1900"/>
        </w:tabs>
        <w:ind w:left="1900" w:hanging="420"/>
      </w:pPr>
    </w:lvl>
    <w:lvl w:ilvl="3">
      <w:start w:val="1"/>
      <w:numFmt w:val="decimal"/>
      <w:lvlText w:val="%4."/>
      <w:lvlJc w:val="left"/>
      <w:pPr>
        <w:tabs>
          <w:tab w:val="num" w:pos="2320"/>
        </w:tabs>
        <w:ind w:left="2320" w:hanging="420"/>
      </w:pPr>
    </w:lvl>
    <w:lvl w:ilvl="4">
      <w:start w:val="1"/>
      <w:numFmt w:val="lowerLetter"/>
      <w:lvlText w:val="%5)"/>
      <w:lvlJc w:val="left"/>
      <w:pPr>
        <w:tabs>
          <w:tab w:val="num" w:pos="2740"/>
        </w:tabs>
        <w:ind w:left="2740" w:hanging="420"/>
      </w:pPr>
    </w:lvl>
    <w:lvl w:ilvl="5">
      <w:start w:val="1"/>
      <w:numFmt w:val="lowerRoman"/>
      <w:lvlText w:val="%6."/>
      <w:lvlJc w:val="right"/>
      <w:pPr>
        <w:tabs>
          <w:tab w:val="num" w:pos="3160"/>
        </w:tabs>
        <w:ind w:left="3160" w:hanging="420"/>
      </w:pPr>
    </w:lvl>
    <w:lvl w:ilvl="6">
      <w:start w:val="1"/>
      <w:numFmt w:val="decimal"/>
      <w:lvlText w:val="%7."/>
      <w:lvlJc w:val="left"/>
      <w:pPr>
        <w:tabs>
          <w:tab w:val="num" w:pos="3580"/>
        </w:tabs>
        <w:ind w:left="3580" w:hanging="420"/>
      </w:pPr>
    </w:lvl>
    <w:lvl w:ilvl="7">
      <w:start w:val="1"/>
      <w:numFmt w:val="lowerLetter"/>
      <w:lvlText w:val="%8)"/>
      <w:lvlJc w:val="left"/>
      <w:pPr>
        <w:tabs>
          <w:tab w:val="num" w:pos="4000"/>
        </w:tabs>
        <w:ind w:left="4000" w:hanging="420"/>
      </w:pPr>
    </w:lvl>
    <w:lvl w:ilvl="8">
      <w:start w:val="1"/>
      <w:numFmt w:val="lowerRoman"/>
      <w:lvlText w:val="%9."/>
      <w:lvlJc w:val="right"/>
      <w:pPr>
        <w:tabs>
          <w:tab w:val="num" w:pos="4420"/>
        </w:tabs>
        <w:ind w:left="4420" w:hanging="42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defaultTabStop w:val="420"/>
  <w:evenAndOddHeaders/>
  <w:drawingGridHorizontalSpacing w:val="160"/>
  <w:drawingGridVerticalSpacing w:val="435"/>
  <w:displayHorizontalDrawingGridEvery w:val="0"/>
  <w:displayVerticalDrawingGridEvery w:val="1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17">
    <w:name w:val="page number"/>
    <w:basedOn w:val="10"/>
  </w:style>
  <w:style w:type="paragraph" w:customStyle="1" w:styleId="18">
    <w:name w:val="样式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styleId="19">
    <w:name w:val="index 5"/>
    <w:autoRedefine/>
    <w:next w:val="0"/>
    <w:pPr>
      <w:ind w:left="1680"/>
    </w:pPr>
    <w:rPr>
      <w:rFonts w:ascii="方正楷体_GBK" w:eastAsia="方正楷体_GBK" w:cs="Times New Roman"/>
      <w:sz w:val="24"/>
      <w:szCs w:val="24"/>
      <w:lang w:val="en-US" w:eastAsia="en-US" w:bidi="ar-SA"/>
    </w:rPr>
  </w:style>
  <w:style w:type="paragraph" w:styleId="20">
    <w:name w:val="index 6"/>
    <w:basedOn w:val="0"/>
    <w:autoRedefine/>
    <w:next w:val="0"/>
    <w:pPr>
      <w:ind w:left="2100"/>
    </w:pPr>
  </w:style>
  <w:style w:type="paragraph" w:styleId="21">
    <w:name w:val="index 7"/>
    <w:basedOn w:val="0"/>
    <w:autoRedefine/>
    <w:next w:val="0"/>
    <w:pPr>
      <w:ind w:left="2520"/>
    </w:pPr>
  </w:style>
  <w:style w:type="paragraph" w:styleId="22">
    <w:name w:val="index 8"/>
    <w:basedOn w:val="0"/>
    <w:autoRedefine/>
    <w:next w:val="0"/>
    <w:pPr>
      <w:ind w:left="2940"/>
    </w:pPr>
  </w:style>
  <w:style w:type="paragraph" w:styleId="23">
    <w:name w:val="toc 1"/>
    <w:basedOn w:val="0"/>
    <w:autoRedefine/>
    <w:next w:val="0"/>
  </w:style>
  <w:style w:type="paragraph" w:styleId="24">
    <w:name w:val="toc 2"/>
    <w:basedOn w:val="0"/>
    <w:autoRedefine/>
    <w:next w:val="0"/>
    <w:pPr>
      <w:ind w:left="420"/>
    </w:pPr>
  </w:style>
  <w:style w:type="paragraph" w:styleId="25">
    <w:name w:val="Normal (Web)"/>
    <w:next w:val="16"/>
    <w:pPr>
      <w:widowControl w:val="0"/>
      <w:spacing w:beforeAutospacing="1" w:afterAutospacing="1"/>
    </w:pPr>
    <w:rPr>
      <w:rFonts w:ascii="Times New Roman" w:eastAsia="宋体" w:cs="Times New Roman" w:hAnsi="Times New Roman"/>
      <w:sz w:val="24"/>
      <w:szCs w:val="30"/>
      <w:lang w:val="en-US" w:eastAsia="zh-CN" w:bidi="ar-SA"/>
    </w:rPr>
  </w:style>
  <w:style w:type="paragraph" w:customStyle="1" w:styleId="26">
    <w:name w:val="样式 1 三号"/>
    <w:next w:val="23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szCs w:val="28"/>
      <w:lang w:val="en-US" w:eastAsia="zh-CN" w:bidi="ar-SA"/>
    </w:rPr>
  </w:style>
  <w:style w:type="paragraph" w:customStyle="1" w:styleId="27">
    <w:name w:val="样式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lang w:val="en-US" w:eastAsia="zh-CN" w:bidi="ar-SA"/>
    </w:rPr>
  </w:style>
  <w:style w:type="paragraph" w:customStyle="1" w:styleId="28">
    <w:name w:val="样式 小三"/>
    <w:next w:val="24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9">
    <w:name w:val="样式 1 小四"/>
    <w:next w:val="0"/>
    <w:pPr>
      <w:widowControl w:val="0"/>
    </w:pPr>
    <w:rPr>
      <w:rFonts w:ascii="宋体" w:eastAsia="宋体" w:cs="Times New Roman"/>
      <w:kern w:val="2"/>
      <w:sz w:val="24"/>
      <w:lang w:val="en-US" w:eastAsia="zh-CN" w:bidi="ar-SA"/>
    </w:rPr>
  </w:style>
  <w:style w:type="paragraph" w:customStyle="1" w:styleId="30">
    <w:name w:val="样式 6 小四"/>
    <w:next w:val="0"/>
    <w:pPr>
      <w:widowControl w:val="0"/>
      <w:spacing w:beforeAutospacing="1" w:afterAutospacing="1"/>
    </w:pPr>
    <w:rPr>
      <w:rFonts w:ascii="Times New Roman" w:eastAsia="宋体" w:cs="Times New Roman" w:hAnsi="Times New Roman"/>
      <w:sz w:val="24"/>
      <w:szCs w:val="30"/>
      <w:lang w:val="en-US" w:eastAsia="zh-CN" w:bidi="ar-SA"/>
    </w:rPr>
  </w:style>
  <w:style w:type="paragraph" w:customStyle="1" w:styleId="31">
    <w:name w:val="样式 20 小四"/>
    <w:next w:val="19"/>
    <w:pPr>
      <w:widowControl w:val="0"/>
      <w:spacing w:beforeAutospacing="1" w:afterAutospacing="1"/>
    </w:pPr>
    <w:rPr>
      <w:rFonts w:ascii="Times New Roman" w:eastAsia="宋体" w:cs="Times New Roman" w:hAnsi="Times New Roman"/>
      <w:sz w:val="24"/>
      <w:szCs w:val="30"/>
      <w:lang w:val="en-US" w:eastAsia="zh-CN" w:bidi="ar-SA"/>
    </w:rPr>
  </w:style>
  <w:style w:type="paragraph" w:customStyle="1" w:styleId="32">
    <w:name w:val="样式 12 三号"/>
    <w:next w:val="22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33">
    <w:name w:val="样式 50 三号"/>
    <w:next w:val="20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lang w:val="en-US" w:eastAsia="zh-CN" w:bidi="ar-SA"/>
    </w:rPr>
  </w:style>
  <w:style w:type="paragraph" w:customStyle="1" w:styleId="34">
    <w:name w:val="样式 13 三号"/>
    <w:next w:val="21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lang w:val="en-US" w:eastAsia="zh-CN" w:bidi="ar-SA"/>
    </w:rPr>
  </w:style>
  <w:style w:type="paragraph" w:customStyle="1" w:styleId="35">
    <w:name w:val="样式 2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szCs w:val="28"/>
      <w:lang w:val="en-US" w:eastAsia="zh-CN" w:bidi="ar-SA"/>
    </w:rPr>
  </w:style>
  <w:style w:type="paragraph" w:customStyle="1" w:styleId="36">
    <w:name w:val="样式 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37">
    <w:name w:val="样式 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38">
    <w:name w:val="样式 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39">
    <w:name w:val="样式 6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szCs w:val="28"/>
      <w:lang w:val="en-US" w:eastAsia="zh-CN" w:bidi="ar-SA"/>
    </w:rPr>
  </w:style>
  <w:style w:type="paragraph" w:customStyle="1" w:styleId="40">
    <w:name w:val="样式 7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lang w:val="en-US" w:eastAsia="zh-CN" w:bidi="ar-SA"/>
    </w:rPr>
  </w:style>
  <w:style w:type="paragraph" w:customStyle="1" w:styleId="41">
    <w:name w:val="样式 8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lang w:val="en-US" w:eastAsia="zh-CN" w:bidi="ar-SA"/>
    </w:rPr>
  </w:style>
  <w:style w:type="paragraph" w:customStyle="1" w:styleId="42">
    <w:name w:val="样式 小四"/>
    <w:pPr>
      <w:widowControl w:val="0"/>
    </w:pPr>
    <w:rPr>
      <w:rFonts w:ascii="宋体" w:eastAsia="宋体" w:cs="Times New Roman"/>
      <w:kern w:val="2"/>
      <w:sz w:val="24"/>
      <w:lang w:val="en-US" w:eastAsia="zh-CN" w:bidi="ar-SA"/>
    </w:rPr>
  </w:style>
  <w:style w:type="paragraph" w:customStyle="1" w:styleId="43">
    <w:name w:val="样式 1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44">
    <w:name w:val="样式 2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45">
    <w:name w:val="样式 3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46">
    <w:name w:val="样式 4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47">
    <w:name w:val="样式 9 三号"/>
    <w:pPr>
      <w:widowControl w:val="0"/>
      <w:ind w:left="42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48">
    <w:name w:val="样式 2 小四"/>
    <w:pPr>
      <w:widowControl w:val="0"/>
      <w:spacing w:beforeAutospacing="1" w:afterAutospacing="1"/>
    </w:pPr>
    <w:rPr>
      <w:rFonts w:ascii="Times New Roman" w:eastAsia="宋体" w:cs="Times New Roman" w:hAnsi="Times New Roman"/>
      <w:sz w:val="24"/>
      <w:szCs w:val="30"/>
      <w:lang w:val="en-US" w:eastAsia="zh-CN" w:bidi="ar-SA"/>
    </w:rPr>
  </w:style>
  <w:style w:type="paragraph" w:customStyle="1" w:styleId="49">
    <w:name w:val="样式 10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lang w:val="en-US" w:eastAsia="zh-CN" w:bidi="ar-SA"/>
    </w:rPr>
  </w:style>
  <w:style w:type="paragraph" w:customStyle="1" w:styleId="50">
    <w:name w:val="样式 3 小四"/>
    <w:pPr>
      <w:widowControl w:val="0"/>
    </w:pPr>
    <w:rPr>
      <w:rFonts w:ascii="宋体" w:eastAsia="宋体" w:cs="Times New Roman"/>
      <w:kern w:val="2"/>
      <w:sz w:val="24"/>
      <w:lang w:val="en-US" w:eastAsia="zh-CN" w:bidi="ar-SA"/>
    </w:rPr>
  </w:style>
  <w:style w:type="paragraph" w:styleId="51">
    <w:name w:val="List Number 2"/>
    <w:basedOn w:val="0"/>
    <w:pPr>
      <w:tabs>
        <w:tab w:val="left" w:pos="780"/>
      </w:tabs>
      <w:ind w:left="780" w:hanging="360"/>
    </w:pPr>
  </w:style>
  <w:style w:type="paragraph" w:customStyle="1" w:styleId="52">
    <w:name w:val="样式 5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53">
    <w:name w:val="样式 6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54">
    <w:name w:val="样式 7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55">
    <w:name w:val="样式 8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56">
    <w:name w:val="样式 9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57">
    <w:name w:val="样式 10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58">
    <w:name w:val="样式 11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59">
    <w:name w:val="样式 12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60">
    <w:name w:val="样式 13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61">
    <w:name w:val="样式 14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62">
    <w:name w:val="样式 15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63">
    <w:name w:val="样式 16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64">
    <w:name w:val="样式 17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65">
    <w:name w:val="样式 18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66">
    <w:name w:val="样式 19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67">
    <w:name w:val="样式 20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68">
    <w:name w:val="样式 15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lang w:val="en-US" w:eastAsia="zh-CN" w:bidi="ar-SA"/>
    </w:rPr>
  </w:style>
  <w:style w:type="paragraph" w:customStyle="1" w:styleId="69">
    <w:name w:val="样式 17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lang w:val="en-US" w:eastAsia="zh-CN" w:bidi="ar-SA"/>
    </w:rPr>
  </w:style>
  <w:style w:type="paragraph" w:customStyle="1" w:styleId="70">
    <w:name w:val="列出段落1"/>
    <w:basedOn w:val="0"/>
    <w:pPr>
      <w:ind w:firstLineChars="200" w:firstLine="200"/>
    </w:pPr>
    <w:rPr>
      <w:rFonts w:ascii="Calibri" w:eastAsia="宋体" w:cs="Arial" w:hAnsi="Calibri"/>
      <w:sz w:val="21"/>
      <w:szCs w:val="22"/>
    </w:rPr>
  </w:style>
  <w:style w:type="paragraph" w:customStyle="1" w:styleId="71">
    <w:name w:val="样式 1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72">
    <w:name w:val="样式 1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73">
    <w:name w:val="样式 1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74">
    <w:name w:val="样式 1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75">
    <w:name w:val="样式 1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76">
    <w:name w:val="样式 20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lang w:val="en-US" w:eastAsia="zh-CN" w:bidi="ar-SA"/>
    </w:rPr>
  </w:style>
  <w:style w:type="paragraph" w:customStyle="1" w:styleId="77">
    <w:name w:val="样式 2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78">
    <w:name w:val="样式 4 小四"/>
    <w:pPr>
      <w:widowControl w:val="0"/>
      <w:spacing w:beforeAutospacing="1" w:afterAutospacing="1"/>
    </w:pPr>
    <w:rPr>
      <w:rFonts w:ascii="Times New Roman" w:eastAsia="宋体" w:cs="Times New Roman" w:hAnsi="Times New Roman"/>
      <w:sz w:val="24"/>
      <w:szCs w:val="30"/>
      <w:lang w:val="en-US" w:eastAsia="zh-CN" w:bidi="ar-SA"/>
    </w:rPr>
  </w:style>
  <w:style w:type="paragraph" w:customStyle="1" w:styleId="79">
    <w:name w:val="样式 2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80">
    <w:name w:val="样式 2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81">
    <w:name w:val="样式 2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82">
    <w:name w:val="样式 2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83">
    <w:name w:val="样式 2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84">
    <w:name w:val="样式 2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85">
    <w:name w:val="List Paragraph"/>
    <w:basedOn w:val="0"/>
    <w:pPr>
      <w:ind w:firstLineChars="200" w:firstLine="200"/>
    </w:p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numbering" Target="numbering.xml"/><Relationship Id="rId5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443</TotalTime>
  <Application>Yozo_Office</Application>
  <Pages>6</Pages>
  <Words>2159</Words>
  <Characters>2208</Characters>
  <Lines>422</Lines>
  <Paragraphs>302</Paragraphs>
  <CharactersWithSpaces>2249</CharactersWithSpaces>
  <Company>ccic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吕大良</dc:creator>
  <cp:lastModifiedBy>李丁</cp:lastModifiedBy>
  <cp:revision>38</cp:revision>
  <cp:lastPrinted>2021-11-30T07:27:00Z</cp:lastPrinted>
  <dcterms:created xsi:type="dcterms:W3CDTF">2021-12-22T05:47:00Z</dcterms:created>
  <dcterms:modified xsi:type="dcterms:W3CDTF">2024-01-11T06:37:42Z</dcterms:modified>
</cp:coreProperties>
</file>