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45"/>
        <w:jc w:val="center"/>
        <w:rPr>
          <w:rFonts w:eastAsia="方正小标宋_GBK" w:cs="方正小标宋_GBK"/>
          <w:sz w:val="44"/>
          <w:szCs w:val="44"/>
        </w:rPr>
      </w:pPr>
      <w:bookmarkStart w:id="0" w:name="_Hlk25540369"/>
      <w:bookmarkStart w:id="1" w:name="cogw__正文__file"/>
      <w:r>
        <w:rPr>
          <w:rFonts w:eastAsia="方正小标宋_GBK" w:cs="方正小标宋_GBK" w:hint="eastAsia"/>
          <w:sz w:val="44"/>
          <w:szCs w:val="44"/>
        </w:rPr>
        <w:t>上海</w:t>
      </w:r>
      <w:r>
        <w:rPr>
          <w:rFonts w:eastAsia="方正小标宋_GBK" w:cs="方正小标宋_GBK"/>
          <w:sz w:val="44"/>
          <w:szCs w:val="44"/>
        </w:rPr>
        <w:t>浦东</w:t>
      </w:r>
      <w:r>
        <w:rPr>
          <w:rFonts w:eastAsia="方正小标宋_GBK" w:cs="方正小标宋_GBK" w:hint="eastAsia"/>
          <w:sz w:val="44"/>
          <w:szCs w:val="44"/>
        </w:rPr>
        <w:t>海关</w:t>
      </w:r>
      <w:r>
        <w:rPr>
          <w:rFonts w:eastAsia="方正小标宋_GBK" w:cs="方正小标宋_GBK"/>
          <w:sz w:val="44"/>
          <w:szCs w:val="44"/>
        </w:rPr>
        <w:t>2025</w:t>
      </w:r>
      <w:r>
        <w:rPr>
          <w:rFonts w:eastAsia="方正小标宋_GBK" w:cs="方正小标宋_GBK" w:hint="eastAsia"/>
          <w:sz w:val="44"/>
          <w:szCs w:val="44"/>
        </w:rPr>
        <w:t>年政府信息公开工作年度报告</w:t>
      </w:r>
      <w:bookmarkEnd w:id="0"/>
    </w:p>
    <w:p>
      <w:pPr>
        <w:pStyle w:val="35"/>
        <w:adjustRightInd w:val="0"/>
        <w:snapToGrid w:val="0"/>
        <w:spacing w:line="560" w:lineRule="exact"/>
        <w:ind w:firstLineChars="200" w:firstLine="624"/>
        <w:rPr>
          <w:rFonts w:ascii="Times New Roman" w:eastAsia="方正仿宋_GBK" w:cs="Arial" w:hAnsi="Times New Roman"/>
          <w:spacing w:val="-4"/>
          <w:sz w:val="32"/>
          <w:szCs w:val="32"/>
        </w:rPr>
      </w:pPr>
    </w:p>
    <w:p>
      <w:pPr>
        <w:pStyle w:val="35"/>
        <w:adjustRightInd w:val="0"/>
        <w:snapToGrid w:val="0"/>
        <w:spacing w:line="560" w:lineRule="exact"/>
        <w:ind w:firstLineChars="200" w:firstLine="624"/>
        <w:jc w:val="both"/>
        <w:rPr>
          <w:rFonts w:ascii="Times New Roman" w:eastAsia="方正仿宋_GBK" w:cs="Arial" w:hAnsi="Times New Roman"/>
          <w:spacing w:val="-4"/>
          <w:sz w:val="32"/>
          <w:szCs w:val="32"/>
        </w:rPr>
      </w:pP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本报告根据《中华人民共和国政府信息公开条例》《国务院办公厅政府信息与政务公开办公室关于印发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〈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中华人民共和国政府信息公开工作年度报告格式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〉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的通知》（国办公开办函〔2021〕30号），梳理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2025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年度上海浦东海关政府信息公开工作情况编制而成。报告中所列数据的统计期限，自202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5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年1月1日起至202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5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年12月31日止。如对报告有任何疑问，请联系上海浦东海关办公室，地址：上海市浦东新区民生路1208号，邮编：200135；电话：021-60157949；电子邮箱：pdhg@customs.gov.cn。</w:t>
      </w:r>
    </w:p>
    <w:p>
      <w:pPr>
        <w:pStyle w:val="35"/>
        <w:adjustRightInd w:val="0"/>
        <w:snapToGrid w:val="0"/>
        <w:spacing w:line="560" w:lineRule="exact"/>
        <w:ind w:firstLineChars="200" w:firstLine="624"/>
        <w:jc w:val="both"/>
        <w:rPr>
          <w:rFonts w:ascii="Times New Roman" w:eastAsia="方正黑体_GBK" w:cs="方正黑体_GBK" w:hAnsi="Times New Roman"/>
          <w:bCs/>
          <w:spacing w:val="-4"/>
          <w:sz w:val="32"/>
          <w:szCs w:val="32"/>
        </w:rPr>
      </w:pPr>
      <w:r>
        <w:rPr>
          <w:rFonts w:ascii="Times New Roman" w:eastAsia="方正黑体_GBK" w:cs="方正黑体_GBK" w:hAnsi="Times New Roman" w:hint="eastAsia"/>
          <w:bCs/>
          <w:spacing w:val="-4"/>
          <w:sz w:val="32"/>
          <w:szCs w:val="32"/>
        </w:rPr>
        <w:t>一、总体情况</w:t>
      </w:r>
    </w:p>
    <w:p>
      <w:pPr>
        <w:pStyle w:val="35"/>
        <w:adjustRightInd w:val="0"/>
        <w:snapToGrid w:val="0"/>
        <w:spacing w:line="560" w:lineRule="exact"/>
        <w:ind w:firstLineChars="200" w:firstLine="624"/>
        <w:jc w:val="both"/>
        <w:rPr>
          <w:rFonts w:ascii="Times New Roman" w:eastAsia="方正仿宋_GBK" w:cs="Arial" w:hAnsi="Times New Roman"/>
          <w:spacing w:val="-4"/>
          <w:sz w:val="32"/>
          <w:szCs w:val="32"/>
        </w:rPr>
      </w:pP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浦东海关始终坚持以人民为中心的发展思想，严格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执行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《中华人民共和国政府信息公开条例》规定，以“公开为常态、不公开为例外”，遵循公正、公平、合法的原则，切实履行法定职责，扎实推进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本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关区政府信息公开工作，保障人民群众的知情权、参与权、监督权。</w:t>
      </w:r>
    </w:p>
    <w:p>
      <w:pPr>
        <w:pStyle w:val="35"/>
        <w:adjustRightInd w:val="0"/>
        <w:snapToGrid w:val="0"/>
        <w:spacing w:line="560" w:lineRule="exact"/>
        <w:ind w:firstLineChars="200" w:firstLine="624"/>
        <w:jc w:val="both"/>
        <w:rPr>
          <w:rFonts w:ascii="Times New Roman" w:eastAsia="方正仿宋_GBK" w:cs="Arial" w:hAnsi="Times New Roman"/>
          <w:spacing w:val="-4"/>
          <w:sz w:val="32"/>
          <w:szCs w:val="32"/>
        </w:rPr>
      </w:pPr>
      <w:r>
        <w:rPr>
          <w:rFonts w:ascii="Times New Roman" w:eastAsia="方正楷体_GBK" w:cs="Arial" w:hAnsi="Times New Roman" w:hint="eastAsia"/>
          <w:b/>
          <w:bCs/>
          <w:spacing w:val="-4"/>
          <w:sz w:val="32"/>
          <w:szCs w:val="32"/>
        </w:rPr>
        <w:t>（一）积极落实主动公开工作。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根据“双公示”“双随机、一公开”等工作要求，严格落实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门户网站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信息发布流程和公开审查要求，按期做好主动公开信息更新发布，全年通过上海海关门户网站及时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公示相关信息56份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。对外畅通信息申请渠道，定期检查对外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咨询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电话、电子邮箱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等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使用情况，确保及时接收、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回应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企业群众各类诉求。在报关大厅政务公开栏定期更新海关总署公告等规范性文件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243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批次，便利企业群众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及时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获取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海关最新政策公告等相关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信息。</w:t>
      </w:r>
    </w:p>
    <w:p>
      <w:pPr>
        <w:pStyle w:val="35"/>
        <w:adjustRightInd w:val="0"/>
        <w:snapToGrid w:val="0"/>
        <w:spacing w:line="560" w:lineRule="exact"/>
        <w:ind w:firstLineChars="200" w:firstLine="624"/>
        <w:jc w:val="both"/>
        <w:rPr>
          <w:rFonts w:ascii="Times New Roman" w:eastAsia="方正仿宋_GBK" w:cs="Arial" w:hAnsi="Times New Roman"/>
          <w:spacing w:val="-4"/>
          <w:sz w:val="32"/>
          <w:szCs w:val="32"/>
        </w:rPr>
      </w:pPr>
      <w:r>
        <w:rPr>
          <w:rFonts w:ascii="Times New Roman" w:eastAsia="方正楷体_GBK" w:cs="Arial" w:hAnsi="Times New Roman" w:hint="eastAsia"/>
          <w:b/>
          <w:bCs/>
          <w:spacing w:val="-4"/>
          <w:sz w:val="32"/>
          <w:szCs w:val="32"/>
        </w:rPr>
        <w:t>（二）</w:t>
      </w:r>
      <w:r>
        <w:rPr>
          <w:rFonts w:ascii="Times New Roman" w:eastAsia="方正楷体_GBK" w:cs="Arial" w:hAnsi="Times New Roman"/>
          <w:b/>
          <w:bCs/>
          <w:spacing w:val="-4"/>
          <w:sz w:val="32"/>
          <w:szCs w:val="32"/>
        </w:rPr>
        <w:t>规范答复</w:t>
      </w:r>
      <w:r>
        <w:rPr>
          <w:rFonts w:ascii="Times New Roman" w:eastAsia="方正楷体_GBK" w:cs="Arial" w:hAnsi="Times New Roman" w:hint="eastAsia"/>
          <w:b/>
          <w:bCs/>
          <w:spacing w:val="-4"/>
          <w:sz w:val="32"/>
          <w:szCs w:val="32"/>
        </w:rPr>
        <w:t>依申请公开</w:t>
      </w:r>
      <w:r>
        <w:rPr>
          <w:rFonts w:ascii="Times New Roman" w:eastAsia="方正楷体_GBK" w:cs="Arial" w:hAnsi="Times New Roman"/>
          <w:b/>
          <w:bCs/>
          <w:spacing w:val="-4"/>
          <w:sz w:val="32"/>
          <w:szCs w:val="32"/>
        </w:rPr>
        <w:t>事项</w:t>
      </w:r>
      <w:r>
        <w:rPr>
          <w:rFonts w:ascii="Times New Roman" w:eastAsia="方正楷体_GBK" w:cs="Arial" w:hAnsi="Times New Roman" w:hint="eastAsia"/>
          <w:b/>
          <w:bCs/>
          <w:spacing w:val="-4"/>
          <w:sz w:val="32"/>
          <w:szCs w:val="32"/>
        </w:rPr>
        <w:t>。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认真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落实《中华人民共和国政府信息公开条例》要求，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严格把控依申请公开处置流程，确保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在法定期限内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办结答复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。全年共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收到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海关政府信息公开申请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21份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，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20份已按期办结，1份结转至2026年继续办理，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依法保障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社会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公众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获取海关政府信息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合理需求。</w:t>
      </w:r>
    </w:p>
    <w:p>
      <w:pPr>
        <w:pStyle w:val="35"/>
        <w:adjustRightInd w:val="0"/>
        <w:snapToGrid w:val="0"/>
        <w:spacing w:line="560" w:lineRule="exact"/>
        <w:ind w:firstLineChars="200" w:firstLine="624"/>
        <w:jc w:val="both"/>
        <w:rPr>
          <w:rFonts w:ascii="Times New Roman" w:eastAsia="方正仿宋_GBK" w:cs="Arial" w:hAnsi="Times New Roman"/>
          <w:spacing w:val="-4"/>
          <w:sz w:val="32"/>
          <w:szCs w:val="32"/>
        </w:rPr>
      </w:pPr>
      <w:r>
        <w:rPr>
          <w:rFonts w:ascii="Times New Roman" w:eastAsia="方正楷体_GBK" w:cs="Arial" w:hAnsi="Times New Roman" w:hint="eastAsia"/>
          <w:b/>
          <w:bCs/>
          <w:spacing w:val="-4"/>
          <w:sz w:val="32"/>
          <w:szCs w:val="32"/>
        </w:rPr>
        <w:t>（三）拓展其他信息公开渠道。</w:t>
      </w:r>
      <w:r>
        <w:rPr>
          <w:rFonts w:ascii="Times New Roman" w:eastAsia="方正仿宋_GBK" w:cs="Arial" w:hAnsi="Times New Roman" w:hint="eastAsia"/>
          <w:b/>
          <w:spacing w:val="-4"/>
          <w:sz w:val="32"/>
          <w:szCs w:val="32"/>
        </w:rPr>
        <w:t>一是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通过上海海关12360热线提供34次通关协调、业务咨询、政策解读等公共服务，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及时回应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企业群众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对海关工作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诉求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，做到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“</w:t>
      </w:r>
      <w:r>
        <w:rPr>
          <w:rFonts w:ascii="Times New Roman" w:eastAsia="方正仿宋_GBK" w:cs="Arial" w:hAnsi="Times New Roman"/>
          <w:spacing w:val="-4"/>
          <w:sz w:val="32"/>
          <w:szCs w:val="32"/>
        </w:rPr>
        <w:t>事事有回音、件件有着落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”。</w:t>
      </w:r>
      <w:r>
        <w:rPr>
          <w:rFonts w:ascii="Times New Roman" w:eastAsia="方正仿宋_GBK" w:cs="Arial" w:hAnsi="Times New Roman" w:hint="eastAsia"/>
          <w:b/>
          <w:spacing w:val="-4"/>
          <w:sz w:val="32"/>
          <w:szCs w:val="32"/>
        </w:rPr>
        <w:t>二是</w:t>
      </w:r>
      <w:r>
        <w:rPr>
          <w:rFonts w:ascii="Times New Roman" w:eastAsia="方正仿宋_GBK" w:cs="Arial" w:hAnsi="Times New Roman" w:hint="eastAsia"/>
          <w:spacing w:val="-4"/>
          <w:sz w:val="32"/>
          <w:szCs w:val="32"/>
        </w:rPr>
        <w:t>积极开展海关政策宣讲和业务咨询活动，面向辖区企业做好政策解读和咨询服务，组织召开对美加征关税措施、服务民营经济发展、出口原产地规则解读、AEO惠企政策等各类宣贯活动16次，覆盖辖区企业近千家，指导企业用足用好海关政策。</w:t>
      </w:r>
    </w:p>
    <w:p>
      <w:pPr>
        <w:pStyle w:val="35"/>
        <w:adjustRightInd w:val="0"/>
        <w:snapToGrid w:val="0"/>
        <w:spacing w:line="560" w:lineRule="exact"/>
        <w:ind w:firstLineChars="200" w:firstLine="624"/>
        <w:jc w:val="both"/>
        <w:rPr>
          <w:rFonts w:ascii="Times New Roman" w:eastAsia="方正黑体_GBK" w:cs="方正黑体_GBK" w:hAnsi="Times New Roman"/>
          <w:bCs/>
          <w:spacing w:val="-4"/>
          <w:sz w:val="32"/>
          <w:szCs w:val="32"/>
        </w:rPr>
      </w:pPr>
      <w:r>
        <w:rPr>
          <w:rFonts w:ascii="Times New Roman" w:eastAsia="方正黑体_GBK" w:cs="方正黑体_GBK" w:hAnsi="Times New Roman" w:hint="eastAsia"/>
          <w:bCs/>
          <w:spacing w:val="-4"/>
          <w:sz w:val="32"/>
          <w:szCs w:val="32"/>
        </w:rPr>
        <w:t>二、主动公开政府信息情况</w:t>
      </w:r>
    </w:p>
    <w:tbl>
      <w:tblPr>
        <w:jc w:val="center"/>
        <w:tblW w:w="8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0"/>
        <w:gridCol w:w="2183"/>
        <w:gridCol w:w="1936"/>
        <w:gridCol w:w="2156"/>
      </w:tblGrid>
      <w:tr>
        <w:trPr>
          <w:trHeight w:val="495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第二十条第（一）项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本年</w:t>
            </w:r>
            <w:r>
              <w:rPr>
                <w:spacing w:val="-4"/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本年废止件</w:t>
            </w:r>
            <w:r>
              <w:rPr>
                <w:spacing w:val="-4"/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现行有效件数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rPr>
          <w:trHeight w:val="435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第二十条第（五）项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7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8"/>
              <w:jc w:val="center"/>
              <w:rPr>
                <w:rFonts w:eastAsia="方正仿宋_GBK" w:cs="宋体"/>
                <w:spacing w:val="-4"/>
                <w:sz w:val="24"/>
                <w:szCs w:val="24"/>
              </w:rPr>
            </w:pPr>
            <w:r>
              <w:rPr>
                <w:rFonts w:eastAsia="方正仿宋_GBK" w:cs="宋体"/>
                <w:spacing w:val="-4"/>
                <w:sz w:val="24"/>
                <w:szCs w:val="24"/>
              </w:rPr>
              <w:t>2</w:t>
            </w:r>
          </w:p>
        </w:tc>
      </w:tr>
      <w:tr>
        <w:trPr>
          <w:trHeight w:val="406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第二十条第（六）项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0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 w:cs="宋体"/>
                <w:spacing w:val="-4"/>
                <w:sz w:val="24"/>
                <w:szCs w:val="24"/>
              </w:rPr>
            </w:pPr>
            <w:r>
              <w:rPr>
                <w:rFonts w:eastAsia="方正仿宋_GBK" w:cs="宋体"/>
                <w:spacing w:val="-4"/>
                <w:sz w:val="24"/>
                <w:szCs w:val="24"/>
              </w:rPr>
              <w:t>67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9"/>
              <w:jc w:val="center"/>
              <w:rPr>
                <w:rFonts w:eastAsia="方正仿宋_GBK" w:cs="宋体"/>
                <w:spacing w:val="-4"/>
                <w:sz w:val="24"/>
                <w:szCs w:val="24"/>
              </w:rPr>
            </w:pPr>
            <w:r>
              <w:rPr>
                <w:rFonts w:eastAsia="方正仿宋_GBK" w:cs="宋体"/>
                <w:spacing w:val="-4"/>
                <w:sz w:val="24"/>
                <w:szCs w:val="24"/>
              </w:rPr>
              <w:t>139</w:t>
            </w:r>
          </w:p>
        </w:tc>
      </w:tr>
      <w:tr>
        <w:trPr>
          <w:trHeight w:val="474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第二十条第（八）项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4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本年收费金额（单位：万元）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adjustRightInd w:val="0"/>
              <w:snapToGrid w:val="0"/>
              <w:spacing w:line="260" w:lineRule="exact"/>
              <w:jc w:val="center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 w:cs="宋体"/>
                <w:spacing w:val="-4"/>
                <w:sz w:val="24"/>
                <w:szCs w:val="24"/>
              </w:rPr>
            </w:pPr>
            <w:r>
              <w:rPr>
                <w:rFonts w:eastAsia="方正仿宋_GBK" w:cs="宋体" w:hint="eastAsia"/>
                <w:spacing w:val="-4"/>
                <w:sz w:val="24"/>
                <w:szCs w:val="24"/>
              </w:rPr>
              <w:t>0</w:t>
            </w:r>
          </w:p>
        </w:tc>
      </w:tr>
    </w:tbl>
    <w:p>
      <w:pPr>
        <w:pStyle w:val="35"/>
        <w:adjustRightInd w:val="0"/>
        <w:snapToGrid w:val="0"/>
        <w:spacing w:line="560" w:lineRule="exact"/>
        <w:ind w:firstLineChars="200" w:firstLine="624"/>
        <w:jc w:val="both"/>
        <w:rPr>
          <w:rFonts w:ascii="Times New Roman" w:eastAsia="方正黑体_GBK" w:cs="方正黑体_GBK" w:hAnsi="Times New Roman"/>
          <w:bCs/>
          <w:spacing w:val="-4"/>
          <w:sz w:val="32"/>
          <w:szCs w:val="32"/>
        </w:rPr>
      </w:pPr>
      <w:r>
        <w:rPr>
          <w:rFonts w:ascii="Times New Roman" w:eastAsia="方正黑体_GBK" w:cs="方正黑体_GBK" w:hAnsi="Times New Roman" w:hint="eastAsia"/>
          <w:bCs/>
          <w:spacing w:val="-4"/>
          <w:sz w:val="32"/>
          <w:szCs w:val="32"/>
        </w:rPr>
        <w:t>三、收到和处理政府信息公开申请情况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72"/>
        <w:gridCol w:w="707"/>
      </w:tblGrid>
      <w:t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0"/>
                <w:szCs w:val="20"/>
              </w:rPr>
              <w:t>申请人情况</w:t>
            </w:r>
          </w:p>
        </w:tc>
      </w:tr>
      <w:t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0"/>
                <w:szCs w:val="20"/>
              </w:rPr>
              <w:t>总计</w:t>
            </w:r>
          </w:p>
        </w:tc>
      </w:tr>
      <w:tr>
        <w:trPr>
          <w:trHeight w:val="649"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0"/>
                <w:szCs w:val="20"/>
              </w:rPr>
              <w:t>其他</w:t>
            </w:r>
          </w:p>
        </w:tc>
        <w:tc>
          <w:tcPr>
            <w:tcW w:w="70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34"/>
              <w:widowControl/>
              <w:jc w:val="left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21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34"/>
              <w:widowControl/>
              <w:jc w:val="left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left"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2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left"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10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2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34"/>
              <w:widowControl/>
              <w:rPr>
                <w:rFonts w:eastAsia="楷体" w:cs="楷体"/>
                <w:spacing w:val="-4"/>
                <w:kern w:val="0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34"/>
              <w:widowControl/>
              <w:rPr>
                <w:rFonts w:eastAsia="楷体" w:cs="楷体"/>
                <w:spacing w:val="-4"/>
                <w:kern w:val="0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34"/>
              <w:widowControl/>
              <w:rPr>
                <w:rFonts w:eastAsia="楷体" w:cs="楷体"/>
                <w:spacing w:val="-4"/>
                <w:kern w:val="0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2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34"/>
              <w:widowControl/>
              <w:rPr>
                <w:rFonts w:eastAsia="楷体" w:cs="楷体"/>
                <w:spacing w:val="-4"/>
                <w:kern w:val="0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4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rPr>
                <w:spacing w:val="-4"/>
                <w:sz w:val="24"/>
                <w:szCs w:val="24"/>
              </w:rPr>
            </w:pPr>
            <w:r>
              <w:rPr>
                <w:rFonts w:eastAsia="楷体" w:cs="楷体" w:hint="eastAsia"/>
                <w:spacing w:val="-4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14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20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left"/>
              <w:rPr>
                <w:spacing w:val="-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 w:hint="eastAsia"/>
                <w:spacing w:val="-4"/>
                <w:sz w:val="24"/>
                <w:szCs w:val="24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jc w:val="center"/>
              <w:rPr>
                <w:rFonts w:eastAsia="方正仿宋_GBK"/>
                <w:spacing w:val="-4"/>
                <w:sz w:val="24"/>
                <w:szCs w:val="24"/>
              </w:rPr>
            </w:pPr>
            <w:r>
              <w:rPr>
                <w:rFonts w:eastAsia="方正仿宋_GBK"/>
                <w:spacing w:val="-4"/>
                <w:sz w:val="24"/>
                <w:szCs w:val="24"/>
              </w:rPr>
              <w:t>1</w:t>
            </w:r>
          </w:p>
        </w:tc>
      </w:tr>
    </w:tbl>
    <w:p>
      <w:pPr>
        <w:pStyle w:val="35"/>
        <w:adjustRightInd w:val="0"/>
        <w:snapToGrid w:val="0"/>
        <w:spacing w:line="560" w:lineRule="exact"/>
        <w:ind w:firstLineChars="200" w:firstLine="624"/>
        <w:jc w:val="both"/>
        <w:rPr>
          <w:rFonts w:ascii="Times New Roman" w:eastAsia="方正黑体_GBK" w:cs="方正黑体_GBK" w:hAnsi="Times New Roman"/>
          <w:bCs/>
          <w:spacing w:val="-4"/>
          <w:sz w:val="32"/>
          <w:szCs w:val="32"/>
        </w:rPr>
      </w:pPr>
      <w:r>
        <w:rPr>
          <w:rFonts w:ascii="Times New Roman" w:eastAsia="方正黑体_GBK" w:cs="方正黑体_GBK" w:hAnsi="Times New Roman" w:hint="eastAsia"/>
          <w:bCs/>
          <w:spacing w:val="-4"/>
          <w:sz w:val="32"/>
          <w:szCs w:val="32"/>
        </w:rPr>
        <w:t>四、政府信息公开行政复议、行政诉讼情况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行政诉讼</w:t>
            </w:r>
          </w:p>
        </w:tc>
      </w:tr>
      <w:t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复议后起诉</w:t>
            </w:r>
          </w:p>
        </w:tc>
      </w:tr>
      <w:t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4"/>
                <w:szCs w:val="24"/>
              </w:rPr>
            </w:pPr>
            <w:r>
              <w:rPr>
                <w:rFonts w:cs="宋体" w:hint="eastAsia"/>
                <w:spacing w:val="-4"/>
                <w:kern w:val="0"/>
                <w:sz w:val="24"/>
                <w:szCs w:val="24"/>
              </w:rPr>
              <w:t>总计</w:t>
            </w:r>
          </w:p>
        </w:tc>
      </w:tr>
      <w:tr>
        <w:trPr>
          <w:trHeight w:val="86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kern w:val="0"/>
                <w:sz w:val="28"/>
                <w:szCs w:val="28"/>
              </w:rPr>
            </w:pPr>
            <w:r>
              <w:rPr>
                <w:rFonts w:hint="eastAsia"/>
                <w:spacing w:val="-4"/>
                <w:kern w:val="0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34"/>
              <w:widowControl/>
              <w:jc w:val="center"/>
              <w:rPr>
                <w:spacing w:val="-4"/>
                <w:kern w:val="0"/>
                <w:sz w:val="28"/>
                <w:szCs w:val="28"/>
              </w:rPr>
            </w:pPr>
            <w:r>
              <w:rPr>
                <w:rFonts w:hint="eastAsia"/>
                <w:spacing w:val="-4"/>
                <w:kern w:val="0"/>
                <w:sz w:val="28"/>
                <w:szCs w:val="28"/>
              </w:rPr>
              <w:t>0</w:t>
            </w:r>
          </w:p>
        </w:tc>
      </w:tr>
    </w:tbl>
    <w:p>
      <w:pPr>
        <w:pStyle w:val="35"/>
        <w:adjustRightInd w:val="0"/>
        <w:snapToGrid w:val="0"/>
        <w:spacing w:line="560" w:lineRule="exact"/>
        <w:ind w:firstLineChars="200" w:firstLine="624"/>
        <w:jc w:val="both"/>
        <w:rPr>
          <w:rFonts w:ascii="Times New Roman" w:eastAsia="方正黑体_GBK" w:cs="方正黑体_GBK" w:hAnsi="Times New Roman"/>
          <w:bCs/>
          <w:spacing w:val="-4"/>
          <w:sz w:val="32"/>
          <w:szCs w:val="32"/>
        </w:rPr>
      </w:pPr>
      <w:r>
        <w:rPr>
          <w:rFonts w:ascii="Times New Roman" w:eastAsia="方正黑体_GBK" w:cs="方正黑体_GBK" w:hAnsi="Times New Roman" w:hint="eastAsia"/>
          <w:bCs/>
          <w:spacing w:val="-4"/>
          <w:sz w:val="32"/>
          <w:szCs w:val="32"/>
        </w:rPr>
        <w:t>五、存在的主要问题及改进情况</w:t>
      </w:r>
    </w:p>
    <w:p>
      <w:pPr>
        <w:pStyle w:val="47"/>
        <w:adjustRightInd w:val="0"/>
        <w:snapToGrid w:val="0"/>
        <w:ind w:firstLineChars="200" w:firstLine="624"/>
      </w:pPr>
      <w:r>
        <w:rPr>
          <w:rFonts w:eastAsia="方正楷体_GBK" w:hint="eastAsia"/>
          <w:b/>
          <w:bCs/>
        </w:rPr>
        <w:t>（一）202</w:t>
      </w:r>
      <w:r>
        <w:rPr>
          <w:rFonts w:eastAsia="方正楷体_GBK"/>
          <w:b/>
          <w:bCs/>
        </w:rPr>
        <w:t>4</w:t>
      </w:r>
      <w:r>
        <w:rPr>
          <w:rFonts w:eastAsia="方正楷体_GBK" w:hint="eastAsia"/>
          <w:b/>
          <w:bCs/>
        </w:rPr>
        <w:t>年</w:t>
      </w:r>
      <w:r>
        <w:rPr>
          <w:rFonts w:eastAsia="方正楷体_GBK"/>
          <w:b/>
          <w:bCs/>
        </w:rPr>
        <w:t>度</w:t>
      </w:r>
      <w:r>
        <w:rPr>
          <w:rFonts w:eastAsia="方正楷体_GBK" w:hint="eastAsia"/>
          <w:b/>
          <w:bCs/>
        </w:rPr>
        <w:t>问题整改情况。</w:t>
      </w:r>
      <w:r>
        <w:rPr>
          <w:rFonts w:hint="eastAsia"/>
          <w:kern w:val="0"/>
          <w:szCs w:val="32"/>
        </w:rPr>
        <w:t>针对</w:t>
      </w:r>
      <w:r>
        <w:rPr>
          <w:kern w:val="0"/>
          <w:szCs w:val="32"/>
        </w:rPr>
        <w:t>2024年度</w:t>
      </w:r>
      <w:r>
        <w:rPr>
          <w:rFonts w:hint="eastAsia"/>
          <w:kern w:val="0"/>
          <w:szCs w:val="32"/>
        </w:rPr>
        <w:t>提出的“</w:t>
      </w:r>
      <w:r>
        <w:rPr>
          <w:rFonts w:hint="eastAsia"/>
        </w:rPr>
        <w:t>针对企业群众较为关心的海关新出台政策，需进一步加大宣贯、解读力度”</w:t>
      </w:r>
      <w:r>
        <w:rPr>
          <w:rFonts w:hint="eastAsia"/>
          <w:kern w:val="0"/>
          <w:szCs w:val="32"/>
        </w:rPr>
        <w:t>的问题，</w:t>
      </w:r>
      <w:r>
        <w:rPr>
          <w:kern w:val="0"/>
          <w:szCs w:val="32"/>
        </w:rPr>
        <w:t>结合2025</w:t>
      </w:r>
      <w:r>
        <w:t>年外贸形势</w:t>
      </w:r>
      <w:r>
        <w:rPr>
          <w:rFonts w:hint="eastAsia"/>
        </w:rPr>
        <w:t>变化</w:t>
      </w:r>
      <w:r>
        <w:t>，</w:t>
      </w:r>
      <w:r>
        <w:rPr>
          <w:rFonts w:hint="eastAsia"/>
        </w:rPr>
        <w:t>通过</w:t>
      </w:r>
      <w:r>
        <w:rPr>
          <w:rFonts w:ascii="方正仿宋_GBK" w:hint="eastAsia"/>
          <w:szCs w:val="32"/>
        </w:rPr>
        <w:t>深化“关长送政策上门”机制、重点企业“服务包”制度、开展各类政策宣讲活动，加大海关政策宣贯和咨询服务力度，帮助企业妥善应对全球贸易摩擦升级，助力地方外贸稳中向好。</w:t>
      </w:r>
    </w:p>
    <w:p>
      <w:pPr>
        <w:pStyle w:val="40"/>
        <w:adjustRightInd w:val="0"/>
        <w:snapToGrid w:val="0"/>
        <w:ind w:firstLineChars="200" w:firstLine="624"/>
      </w:pPr>
      <w:r>
        <w:rPr>
          <w:rFonts w:eastAsia="方正楷体_GBK" w:hint="eastAsia"/>
          <w:b/>
          <w:bCs/>
        </w:rPr>
        <w:t>（二）目前存在问题。</w:t>
      </w:r>
      <w:r>
        <w:rPr>
          <w:rFonts w:ascii="方正仿宋_GBK" w:hint="eastAsia"/>
          <w:bCs/>
        </w:rPr>
        <w:t>主</w:t>
      </w:r>
      <w:r>
        <w:rPr>
          <w:rFonts w:hint="eastAsia"/>
        </w:rPr>
        <w:t>动公开的渠道与呈现形式有待完善，目前海关公告仍以线下形式张贴在公告栏，未能充分利用线上渠道。</w:t>
      </w:r>
    </w:p>
    <w:p>
      <w:pPr>
        <w:pStyle w:val="35"/>
        <w:adjustRightInd w:val="0"/>
        <w:snapToGrid w:val="0"/>
        <w:spacing w:line="560" w:lineRule="exact"/>
        <w:ind w:firstLineChars="200" w:firstLine="624"/>
        <w:jc w:val="both"/>
        <w:rPr>
          <w:rFonts w:ascii="Times New Roman" w:eastAsia="方正黑体_GBK" w:cs="方正黑体_GBK" w:hAnsi="Times New Roman"/>
          <w:bCs/>
          <w:spacing w:val="-4"/>
          <w:sz w:val="32"/>
          <w:szCs w:val="32"/>
        </w:rPr>
      </w:pPr>
      <w:r>
        <w:rPr>
          <w:rFonts w:ascii="Times New Roman" w:eastAsia="方正黑体_GBK" w:cs="方正黑体_GBK" w:hAnsi="Times New Roman" w:hint="eastAsia"/>
          <w:bCs/>
          <w:spacing w:val="-4"/>
          <w:sz w:val="32"/>
          <w:szCs w:val="32"/>
        </w:rPr>
        <w:t>六、其他需要报告的事项</w:t>
      </w:r>
      <w:bookmarkEnd w:id="1"/>
    </w:p>
    <w:p>
      <w:pPr>
        <w:pStyle w:val="46"/>
        <w:adjustRightInd w:val="0"/>
        <w:snapToGrid w:val="0"/>
        <w:ind w:firstLineChars="200" w:firstLine="624"/>
      </w:pPr>
      <w:r>
        <w:t>2025年无收取信息处理费情况。</w:t>
      </w:r>
      <w:bookmarkStart w:id="2" w:name="_GoBack"/>
      <w:bookmarkEnd w:id="2"/>
    </w:p>
    <w:sectPr>
      <w:footerReference w:type="default" r:id="rId2"/>
      <w:footerReference w:type="even" r:id="rId3"/>
      <w:footerReference w:type="first" r:id="rId4"/>
      <w:pgSz w:w="11906" w:h="16838"/>
      <w:pgMar w:top="1871" w:right="1701" w:bottom="1871" w:left="1701" w:header="851" w:footer="992" w:gutter="0"/>
      <w:pgNumType w:start="1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altName w:val="DejaVu Sans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楷体">
    <w:altName w:val="方正楷体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黑体">
    <w:altName w:val="方正黑体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33"/>
      <w:tabs>
        <w:tab w:val="center" w:pos="4153"/>
        <w:tab w:val="right" w:pos="8306"/>
      </w:tabs>
      <w:jc w:val="center"/>
      <w:rPr>
        <w:rFonts w:ascii="Times New Roman" w:cs="Times New Roman" w:hAnsi="Times New Roman"/>
      </w:rPr>
    </w:pPr>
    <w:r>
      <w:rPr>
        <w:rFonts w:ascii="宋体" w:hint="eastAsia"/>
        <w:sz w:val="28"/>
        <w:szCs w:val="28"/>
      </w:rPr>
      <w:t xml:space="preserve">— </w:t>
    </w:r>
    <w:r>
      <w:rPr>
        <w:rFonts w:ascii="宋体" w:cs="Times New Roman" w:hint="eastAsia"/>
        <w:sz w:val="28"/>
        <w:szCs w:val="28"/>
      </w:rPr>
      <w:fldChar w:fldCharType="begin"/>
    </w:r>
    <w:r>
      <w:rPr>
        <w:rFonts w:ascii="宋体" w:cs="Times New Roman" w:hint="eastAsia"/>
        <w:sz w:val="28"/>
        <w:szCs w:val="28"/>
      </w:rPr>
      <w:instrText>Page</w:instrText>
    </w:r>
    <w:r>
      <w:rPr>
        <w:rFonts w:ascii="宋体" w:cs="Times New Roman" w:hint="eastAsia"/>
        <w:sz w:val="28"/>
        <w:szCs w:val="28"/>
      </w:rPr>
      <w:fldChar w:fldCharType="separate"/>
    </w:r>
    <w:r>
      <w:rPr>
        <w:rFonts w:ascii="宋体" w:cs="Times New Roman"/>
        <w:sz w:val="28"/>
        <w:szCs w:val="28"/>
      </w:rPr>
      <w:t>5</w:t>
    </w:r>
    <w:r>
      <w:rPr>
        <w:rFonts w:ascii="宋体" w:cs="Times New Roman" w:hint="eastAsia"/>
        <w:sz w:val="28"/>
        <w:szCs w:val="28"/>
      </w:rPr>
      <w:fldChar w:fldCharType="end"/>
    </w:r>
    <w:r>
      <w:rPr>
        <w:rFonts w:ascii="宋体" w:hint="eastAsia"/>
        <w:sz w:val="28"/>
        <w:szCs w:val="28"/>
      </w:rPr>
      <w:t xml:space="preserve"> 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32"/>
      <w:tabs>
        <w:tab w:val="center" w:pos="4153"/>
        <w:tab w:val="right" w:pos="8306"/>
      </w:tabs>
      <w:jc w:val="center"/>
      <w:rPr>
        <w:rFonts w:ascii="Times New Roman" w:cs="Times New Roman" w:hAnsi="Times New Roman"/>
      </w:rPr>
    </w:pPr>
    <w:r>
      <w:rPr>
        <w:rFonts w:ascii="宋体" w:hint="eastAsia"/>
        <w:sz w:val="28"/>
        <w:szCs w:val="28"/>
      </w:rPr>
      <w:t xml:space="preserve">— </w:t>
    </w:r>
    <w:r>
      <w:rPr>
        <w:rFonts w:ascii="宋体" w:cs="Times New Roman" w:hint="eastAsia"/>
        <w:sz w:val="28"/>
        <w:szCs w:val="28"/>
      </w:rPr>
      <w:fldChar w:fldCharType="begin"/>
    </w:r>
    <w:r>
      <w:rPr>
        <w:rFonts w:ascii="宋体" w:cs="Times New Roman" w:hint="eastAsia"/>
        <w:sz w:val="28"/>
        <w:szCs w:val="28"/>
      </w:rPr>
      <w:instrText>Page</w:instrText>
    </w:r>
    <w:r>
      <w:rPr>
        <w:rFonts w:ascii="宋体" w:cs="Times New Roman" w:hint="eastAsia"/>
        <w:sz w:val="28"/>
        <w:szCs w:val="28"/>
      </w:rPr>
      <w:fldChar w:fldCharType="separate"/>
    </w:r>
    <w:r>
      <w:rPr>
        <w:rFonts w:ascii="宋体" w:cs="Times New Roman"/>
        <w:sz w:val="28"/>
        <w:szCs w:val="28"/>
      </w:rPr>
      <w:t>5</w:t>
    </w:r>
    <w:r>
      <w:rPr>
        <w:rFonts w:ascii="宋体" w:cs="Times New Roman" w:hint="eastAsia"/>
        <w:sz w:val="28"/>
        <w:szCs w:val="28"/>
      </w:rPr>
      <w:fldChar w:fldCharType="end"/>
    </w:r>
    <w:r>
      <w:rPr>
        <w:rFonts w:ascii="宋体" w:hint="eastAsia"/>
        <w:sz w:val="28"/>
        <w:szCs w:val="28"/>
      </w:rPr>
      <w:t xml:space="preserve"> —</w:t>
    </w: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9"/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>NumPages</w:instrText>
    </w:r>
    <w:r>
      <w:fldChar w:fldCharType="separate"/>
    </w:r>
    <w:r>
      <w:t>6</w:t>
    </w:r>
    <w:r>
      <w:fldChar w:fldCharType="end"/>
    </w: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</w:p>
  <w:p>
    <w:pPr>
      <w:pStyle w:val="19"/>
      <w:tabs>
        <w:tab w:val="center" w:pos="4153"/>
        <w:tab w:val="right" w:pos="8306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60"/>
  <w:drawingGridVerticalSpacing w:val="435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NTM1ZmZkMzRiMTM3MzZiZTc5YWQ0M2E4OGM0ZmU3NmM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eastAsia="黑体"/>
      <w:b/>
      <w:bCs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Cs w:val="32"/>
    </w:rPr>
  </w:style>
  <w:style w:type="character" w:default="1" w:styleId="10">
    <w:name w:val="Default Paragraph Font"/>
  </w:style>
  <w:style w:type="paragraph" w:styleId="15">
    <w:name w:val="List Number 2"/>
    <w:basedOn w:val="0"/>
    <w:pPr>
      <w:tabs>
        <w:tab w:val="left" w:pos="780"/>
      </w:tabs>
      <w:ind w:left="780" w:hanging="360"/>
    </w:pPr>
  </w:style>
  <w:style w:type="paragraph" w:styleId="16">
    <w:name w:val="index 8"/>
    <w:basedOn w:val="0"/>
    <w:next w:val="0"/>
    <w:pPr>
      <w:ind w:left="2940"/>
    </w:pPr>
  </w:style>
  <w:style w:type="paragraph" w:styleId="17">
    <w:name w:val="index 5"/>
    <w:basedOn w:val="0"/>
    <w:next w:val="0"/>
    <w:pPr>
      <w:ind w:left="1680"/>
    </w:pPr>
  </w:style>
  <w:style w:type="paragraph" w:styleId="18">
    <w:name w:val="index 6"/>
    <w:basedOn w:val="0"/>
    <w:next w:val="0"/>
    <w:pPr>
      <w:ind w:left="2100"/>
    </w:pPr>
  </w:style>
  <w:style w:type="paragraph" w:styleId="19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0"/>
    <w:next w:val="0"/>
  </w:style>
  <w:style w:type="paragraph" w:styleId="22">
    <w:name w:val="index 7"/>
    <w:basedOn w:val="0"/>
    <w:next w:val="0"/>
    <w:pPr>
      <w:ind w:left="2520"/>
    </w:pPr>
  </w:style>
  <w:style w:type="paragraph" w:styleId="23">
    <w:name w:val="toc 2"/>
    <w:basedOn w:val="0"/>
    <w:next w:val="0"/>
    <w:pPr>
      <w:ind w:left="420"/>
    </w:pPr>
  </w:style>
  <w:style w:type="paragraph" w:styleId="24">
    <w:name w:val="Normal (Web)"/>
    <w:next w:val="19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character" w:styleId="25">
    <w:name w:val="page number"/>
    <w:basedOn w:val="10"/>
  </w:style>
  <w:style w:type="character" w:styleId="26">
    <w:name w:val="Hyperlink"/>
    <w:basedOn w:val="10"/>
    <w:rPr>
      <w:color w:val="0000FF"/>
      <w:u w:val="single"/>
    </w:rPr>
  </w:style>
  <w:style w:type="paragraph" w:customStyle="1" w:styleId="27">
    <w:name w:val="样式 三号1"/>
    <w:next w:val="28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28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29">
    <w:name w:val="正文1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0">
    <w:name w:val="正文2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1">
    <w:name w:val="正文3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2">
    <w:name w:val="正文4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3">
    <w:name w:val="样式 1 三号"/>
    <w:next w:val="21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34">
    <w:name w:val="样式 小三"/>
    <w:next w:val="23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35">
    <w:name w:val="样式 1 小四"/>
    <w:next w:val="31"/>
    <w:pPr>
      <w:widowControl w:val="0"/>
    </w:pPr>
    <w:rPr>
      <w:rFonts w:ascii="宋体" w:eastAsia="宋体" w:cs="Times New Roman"/>
      <w:kern w:val="2"/>
      <w:sz w:val="24"/>
      <w:szCs w:val="20"/>
      <w:lang w:val="en-US" w:eastAsia="zh-CN" w:bidi="ar-SA"/>
    </w:rPr>
  </w:style>
  <w:style w:type="paragraph" w:customStyle="1" w:styleId="36">
    <w:name w:val="样式 6 小四"/>
    <w:next w:val="32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7">
    <w:name w:val="样式 20 小四"/>
    <w:next w:val="17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8">
    <w:name w:val="样式 12 三号"/>
    <w:next w:val="16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9">
    <w:name w:val="样式 50 三号"/>
    <w:next w:val="18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40">
    <w:name w:val="样式 13 三号"/>
    <w:next w:val="22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41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42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3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4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5">
    <w:name w:val="样式 6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46">
    <w:name w:val="样式 7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47">
    <w:name w:val="样式 8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48">
    <w:name w:val="样式 小四"/>
    <w:pPr>
      <w:widowControl w:val="0"/>
    </w:pPr>
    <w:rPr>
      <w:rFonts w:ascii="宋体" w:eastAsia="宋体" w:cs="Times New Roman"/>
      <w:kern w:val="2"/>
      <w:sz w:val="24"/>
      <w:szCs w:val="20"/>
      <w:lang w:val="en-US" w:eastAsia="zh-CN" w:bidi="ar-SA"/>
    </w:rPr>
  </w:style>
  <w:style w:type="paragraph" w:customStyle="1" w:styleId="49">
    <w:name w:val="样式 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0">
    <w:name w:val="样式 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1">
    <w:name w:val="样式 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2">
    <w:name w:val="样式 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3">
    <w:name w:val="样式 9 三号"/>
    <w:pPr>
      <w:widowControl w:val="0"/>
      <w:ind w:left="42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54">
    <w:name w:val="样式 2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55">
    <w:name w:val="样式 10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56">
    <w:name w:val="样式 3 小四"/>
    <w:pPr>
      <w:widowControl w:val="0"/>
    </w:pPr>
    <w:rPr>
      <w:rFonts w:ascii="宋体" w:eastAsia="宋体" w:cs="Times New Roman"/>
      <w:kern w:val="2"/>
      <w:sz w:val="24"/>
      <w:szCs w:val="20"/>
      <w:lang w:val="en-US" w:eastAsia="zh-CN" w:bidi="ar-SA"/>
    </w:rPr>
  </w:style>
  <w:style w:type="paragraph" w:customStyle="1" w:styleId="57">
    <w:name w:val="样式 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8">
    <w:name w:val="样式 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9">
    <w:name w:val="样式 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0">
    <w:name w:val="样式 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1">
    <w:name w:val="样式 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2">
    <w:name w:val="样式 1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3">
    <w:name w:val="样式 1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4">
    <w:name w:val="样式 1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5">
    <w:name w:val="样式 1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6">
    <w:name w:val="样式 1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7">
    <w:name w:val="样式 1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8">
    <w:name w:val="样式 1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9">
    <w:name w:val="样式 1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0">
    <w:name w:val="样式 1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1">
    <w:name w:val="样式 1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2">
    <w:name w:val="样式 2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73">
    <w:name w:val="样式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74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5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6">
    <w:name w:val="样式 4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7">
    <w:name w:val="样式 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8">
    <w:name w:val="样式 16 三号"/>
    <w:pPr>
      <w:widowControl w:val="0"/>
      <w:spacing w:line="560" w:lineRule="exact"/>
      <w:jc w:val="both"/>
    </w:pPr>
    <w:rPr>
      <w:rFonts w:ascii="宋体" w:eastAsia="方正仿宋_GBK" w:cs="Times New Roman" w:hAnsi="宋体"/>
      <w:spacing w:val="-4"/>
      <w:kern w:val="2"/>
      <w:sz w:val="32"/>
      <w:szCs w:val="24"/>
      <w:lang w:val="en-US" w:eastAsia="zh-CN" w:bidi="ar-SA"/>
    </w:rPr>
  </w:style>
  <w:style w:type="paragraph" w:customStyle="1" w:styleId="79">
    <w:name w:val="样式 17 三号"/>
    <w:pPr>
      <w:widowControl w:val="0"/>
      <w:spacing w:line="560" w:lineRule="exact"/>
      <w:jc w:val="both"/>
    </w:pPr>
    <w:rPr>
      <w:rFonts w:ascii="宋体" w:eastAsia="方正仿宋_GBK" w:cs="Times New Roman" w:hAnsi="宋体"/>
      <w:spacing w:val="-4"/>
      <w:kern w:val="2"/>
      <w:sz w:val="32"/>
      <w:szCs w:val="24"/>
      <w:lang w:val="en-US" w:eastAsia="zh-CN" w:bidi="ar-SA"/>
    </w:rPr>
  </w:style>
  <w:style w:type="paragraph" w:customStyle="1" w:styleId="80">
    <w:name w:val="样式 18 三号"/>
    <w:pPr>
      <w:widowControl w:val="0"/>
      <w:spacing w:line="560" w:lineRule="exact"/>
      <w:jc w:val="both"/>
    </w:pPr>
    <w:rPr>
      <w:rFonts w:ascii="宋体" w:eastAsia="方正仿宋_GBK" w:cs="Times New Roman" w:hAnsi="宋体"/>
      <w:spacing w:val="-4"/>
      <w:kern w:val="2"/>
      <w:sz w:val="32"/>
      <w:szCs w:val="24"/>
      <w:lang w:val="en-US" w:eastAsia="zh-CN" w:bidi="ar-SA"/>
    </w:rPr>
  </w:style>
  <w:style w:type="paragraph" w:customStyle="1" w:styleId="81">
    <w:name w:val="样式 2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2">
    <w:name w:val="样式 2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3">
    <w:name w:val="样式 2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4">
    <w:name w:val="样式 2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5">
    <w:name w:val="样式 2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6">
    <w:name w:val="样式 2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7">
    <w:name w:val="样式 2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8">
    <w:name w:val="样式 2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89">
    <w:name w:val="样式 2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0">
    <w:name w:val="样式 3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1">
    <w:name w:val="样式 3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2">
    <w:name w:val="样式 3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3">
    <w:name w:val="样式 3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4">
    <w:name w:val="样式 3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95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6">
    <w:name w:val="样式 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7">
    <w:name w:val="样式 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8">
    <w:name w:val="样式 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9">
    <w:name w:val="样式 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0">
    <w:name w:val="样式 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1">
    <w:name w:val="样式 2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2">
    <w:name w:val="样式 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3">
    <w:name w:val="样式 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4">
    <w:name w:val="样式 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5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6">
    <w:name w:val="样式 3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7">
    <w:name w:val="样式 3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8">
    <w:name w:val="样式 3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09">
    <w:name w:val="样式 3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0">
    <w:name w:val="样式 3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1">
    <w:name w:val="样式 3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2">
    <w:name w:val="样式 3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3">
    <w:name w:val="样式 3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4">
    <w:name w:val="样式 3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5">
    <w:name w:val="样式 3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6">
    <w:name w:val="样式 4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7">
    <w:name w:val="样式 4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8">
    <w:name w:val="样式 4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19">
    <w:name w:val="样式 4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0">
    <w:name w:val="样式 4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1">
    <w:name w:val="样式 4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2">
    <w:name w:val="样式 4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123">
    <w:name w:val="样式 4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24">
    <w:name w:val="Balloon Text"/>
    <w:basedOn w:val="0"/>
    <w:rPr>
      <w:sz w:val="18"/>
      <w:szCs w:val="18"/>
    </w:rPr>
  </w:style>
  <w:style w:type="paragraph" w:styleId="125">
    <w:name w:val="annotation text"/>
    <w:basedOn w:val="0"/>
    <w:pPr>
      <w:jc w:val="left"/>
    </w:pPr>
  </w:style>
  <w:style w:type="paragraph" w:styleId="126">
    <w:name w:val="annotation subject"/>
    <w:basedOn w:val="125"/>
    <w:next w:val="125"/>
    <w:rPr>
      <w:b/>
      <w:bCs/>
    </w:rPr>
  </w:style>
  <w:style w:type="paragraph" w:customStyle="1" w:styleId="127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8">
    <w:name w:val="样式 48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129">
    <w:name w:val="样式 49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130">
    <w:name w:val="样式 5 小四"/>
    <w:pPr>
      <w:widowControl w:val="0"/>
    </w:pPr>
    <w:rPr>
      <w:rFonts w:ascii="宋体" w:eastAsia="宋体" w:cs="Times New Roman"/>
      <w:kern w:val="2"/>
      <w:sz w:val="24"/>
      <w:szCs w:val="20"/>
      <w:lang w:val="en-US" w:eastAsia="zh-CN" w:bidi="ar-SA"/>
    </w:rPr>
  </w:style>
  <w:style w:type="paragraph" w:customStyle="1" w:styleId="131">
    <w:name w:val="样式 5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132">
    <w:name w:val="样式 小五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customStyle="1" w:styleId="133">
    <w:name w:val="样式 1 小五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</TotalTime>
  <Application>Yozo_Office</Application>
  <Pages>5</Pages>
  <Words>2016</Words>
  <Characters>2127</Characters>
  <Lines>415</Lines>
  <Paragraphs>302</Paragraphs>
  <CharactersWithSpaces>2127</CharactersWithSpaces>
  <Company>ccic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吕大良</dc:creator>
  <cp:lastModifiedBy>政务公开科收发</cp:lastModifiedBy>
  <cp:revision>2</cp:revision>
  <cp:lastPrinted>2026-01-19T07:45:00Z</cp:lastPrinted>
  <dcterms:created xsi:type="dcterms:W3CDTF">2026-01-19T07:49:00Z</dcterms:created>
  <dcterms:modified xsi:type="dcterms:W3CDTF">2026-01-26T05:54:03Z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2052-12.1.0.16120</vt:lpwstr>
  </property>
  <property fmtid="{D5CDD505-2E9C-101B-9397-08002B2CF9AE}" pid="3" name="ICV">
    <vt:lpwstr>98000B21E30E4C0F9708FD1A82FCC40B_12</vt:lpwstr>
  </property>
</Properties>
</file>