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00" w:lineRule="exact"/>
        <w:jc w:val="center"/>
        <w:rPr>
          <w:rFonts w:ascii="方正小标宋_GBK" w:eastAsia="方正小标宋_GBK"/>
          <w:sz w:val="36"/>
          <w:szCs w:val="36"/>
        </w:rPr>
      </w:pPr>
      <w:r>
        <w:rPr>
          <w:rFonts w:ascii="方正小标宋_GBK" w:eastAsia="方正小标宋_GBK" w:hint="eastAsia"/>
          <w:sz w:val="36"/>
          <w:szCs w:val="36"/>
        </w:rPr>
        <w:t>上海海关支持集成电路产业发展监管创新试点</w:t>
      </w:r>
    </w:p>
    <w:p>
      <w:pPr>
        <w:spacing w:line="500" w:lineRule="exact"/>
        <w:jc w:val="center"/>
        <w:rPr>
          <w:rFonts w:ascii="方正小标宋_GBK" w:eastAsia="方正小标宋_GBK"/>
          <w:sz w:val="36"/>
          <w:szCs w:val="36"/>
        </w:rPr>
      </w:pPr>
      <w:r>
        <w:rPr>
          <w:rFonts w:ascii="方正小标宋_GBK" w:eastAsia="方正小标宋_GBK" w:hint="eastAsia"/>
          <w:sz w:val="36"/>
          <w:szCs w:val="36"/>
        </w:rPr>
        <w:t>企业申请表</w:t>
      </w:r>
    </w:p>
    <w:p>
      <w:pPr>
        <w:jc w:val="center"/>
        <w:sectPr>
          <w:pgSz w:w="11907" w:h="16840"/>
          <w:pgMar w:top="851" w:right="1797" w:bottom="851" w:left="1797" w:header="851" w:footer="992" w:gutter="0"/>
          <w:docGrid w:type="lines" w:linePitch="312" w:charSpace="0"/>
        </w:sectPr>
      </w:pPr>
    </w:p>
    <w:p>
      <w:pPr>
        <w:jc w:val="center"/>
      </w:pPr>
      <w:r>
        <w:t xml:space="preserve">                                                 编号：（关区代码+四位数字编号）</w:t>
      </w:r>
    </w:p>
    <w:tbl>
      <w:tblPr>
        <w:jc w:val="left"/>
        <w:tblW w:w="8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703"/>
        <w:gridCol w:w="2557"/>
        <w:gridCol w:w="1357"/>
        <w:gridCol w:w="1197"/>
        <w:gridCol w:w="1705"/>
      </w:tblGrid>
      <w:tr>
        <w:tc>
          <w:tcPr>
            <w:tcW w:w="8519" w:type="dxa"/>
            <w:gridSpan w:val="5"/>
            <w:tcBorders>
              <w:top w:val="single" w:sz="8" w:space="0" w:color="auto"/>
              <w:left w:val="single" w:sz="8" w:space="0" w:color="auto"/>
              <w:bottom w:val="single" w:sz="8" w:space="0" w:color="auto"/>
              <w:right w:val="single" w:sz="8" w:space="0" w:color="auto"/>
              <w:tl2br w:val="nil"/>
              <w:tr2bl w:val="nil"/>
            </w:tcBorders>
          </w:tcPr>
          <w:p>
            <w:pPr>
              <w:pStyle w:val="19"/>
              <w:jc w:val="center"/>
              <w:rPr>
                <w:rFonts w:ascii="Times New Roman" w:cs="Times New Roman" w:hAnsi="Times New Roman"/>
                <w:b/>
                <w:bCs/>
              </w:rPr>
            </w:pPr>
            <w:r>
              <w:rPr>
                <w:rFonts w:ascii="Times New Roman" w:cs="Times New Roman" w:hAnsi="Times New Roman"/>
                <w:b/>
                <w:bCs/>
              </w:rPr>
              <w:t>基本情况</w:t>
            </w:r>
          </w:p>
        </w:tc>
      </w:tr>
      <w:tr>
        <w:tc>
          <w:tcPr>
            <w:tcW w:w="1703" w:type="dxa"/>
            <w:tcBorders>
              <w:top w:val="single" w:sz="8" w:space="0" w:color="auto"/>
              <w:left w:val="single" w:sz="8" w:space="0" w:color="auto"/>
              <w:bottom w:val="single" w:sz="4" w:space="0" w:color="auto"/>
              <w:right w:val="single" w:sz="4" w:space="0" w:color="auto"/>
            </w:tcBorders>
          </w:tcPr>
          <w:p>
            <w:pPr>
              <w:jc w:val="center"/>
              <w:rPr>
                <w:rFonts w:ascii="Times New Roman" w:cs="Times New Roman" w:hAnsi="Times New Roman"/>
              </w:rPr>
            </w:pPr>
            <w:r>
              <w:rPr>
                <w:rFonts w:ascii="Times New Roman" w:cs="Times New Roman" w:hAnsi="Times New Roman"/>
              </w:rPr>
              <w:t>企业名称</w:t>
            </w:r>
          </w:p>
        </w:tc>
        <w:tc>
          <w:tcPr>
            <w:tcW w:w="3914" w:type="dxa"/>
            <w:gridSpan w:val="2"/>
            <w:tcBorders>
              <w:top w:val="single" w:sz="8" w:space="0" w:color="auto"/>
              <w:left w:val="single" w:sz="4" w:space="0" w:color="auto"/>
              <w:bottom w:val="single" w:sz="4" w:space="0" w:color="auto"/>
              <w:right w:val="single" w:sz="4" w:space="0" w:color="auto"/>
            </w:tcBorders>
          </w:tcPr>
          <w:p>
            <w:pPr>
              <w:rPr>
                <w:rFonts w:ascii="Times New Roman" w:cs="Times New Roman" w:hAnsi="Times New Roman"/>
              </w:rPr>
            </w:pPr>
          </w:p>
        </w:tc>
        <w:tc>
          <w:tcPr>
            <w:tcW w:w="1197" w:type="dxa"/>
            <w:tcBorders>
              <w:top w:val="single" w:sz="8" w:space="0" w:color="auto"/>
              <w:left w:val="single" w:sz="4" w:space="0" w:color="auto"/>
              <w:bottom w:val="single" w:sz="4" w:space="0" w:color="auto"/>
              <w:right w:val="single" w:sz="4" w:space="0" w:color="auto"/>
            </w:tcBorders>
          </w:tcPr>
          <w:p>
            <w:pPr>
              <w:jc w:val="center"/>
              <w:rPr>
                <w:rFonts w:ascii="Times New Roman" w:cs="Times New Roman" w:hAnsi="Times New Roman"/>
              </w:rPr>
            </w:pPr>
            <w:r>
              <w:rPr>
                <w:rFonts w:ascii="Times New Roman" w:cs="Times New Roman" w:hAnsi="Times New Roman"/>
              </w:rPr>
              <w:t>海关编码</w:t>
            </w:r>
          </w:p>
        </w:tc>
        <w:tc>
          <w:tcPr>
            <w:tcW w:w="1705" w:type="dxa"/>
            <w:tcBorders>
              <w:top w:val="single" w:sz="8" w:space="0" w:color="auto"/>
              <w:left w:val="single" w:sz="4" w:space="0" w:color="auto"/>
              <w:bottom w:val="single" w:sz="4" w:space="0" w:color="auto"/>
              <w:right w:val="single" w:sz="8" w:space="0" w:color="auto"/>
            </w:tcBorders>
          </w:tcPr>
          <w:p>
            <w:pPr>
              <w:rPr>
                <w:rFonts w:ascii="Times New Roman" w:cs="Times New Roman" w:hAnsi="Times New Roman"/>
              </w:rPr>
            </w:pPr>
          </w:p>
        </w:tc>
      </w:tr>
      <w:tr>
        <w:tc>
          <w:tcPr>
            <w:tcW w:w="1703" w:type="dxa"/>
            <w:tcBorders>
              <w:top w:val="single" w:sz="4" w:space="0" w:color="auto"/>
              <w:left w:val="single" w:sz="8" w:space="0" w:color="auto"/>
              <w:bottom w:val="single" w:sz="8" w:space="0" w:color="auto"/>
              <w:right w:val="single" w:sz="4" w:space="0" w:color="auto"/>
            </w:tcBorders>
          </w:tcPr>
          <w:p>
            <w:pPr>
              <w:jc w:val="center"/>
              <w:rPr>
                <w:rFonts w:ascii="Times New Roman" w:cs="Times New Roman" w:hAnsi="Times New Roman"/>
              </w:rPr>
            </w:pPr>
            <w:r>
              <w:rPr>
                <w:rFonts w:ascii="Times New Roman" w:cs="Times New Roman" w:hAnsi="Times New Roman"/>
              </w:rPr>
              <w:t>主管海关</w:t>
            </w:r>
          </w:p>
        </w:tc>
        <w:tc>
          <w:tcPr>
            <w:tcW w:w="3914" w:type="dxa"/>
            <w:gridSpan w:val="2"/>
            <w:tcBorders>
              <w:top w:val="single" w:sz="4" w:space="0" w:color="auto"/>
              <w:left w:val="single" w:sz="4" w:space="0" w:color="auto"/>
              <w:bottom w:val="single" w:sz="8" w:space="0" w:color="auto"/>
              <w:right w:val="single" w:sz="4" w:space="0" w:color="auto"/>
            </w:tcBorders>
          </w:tcPr>
          <w:p>
            <w:pPr>
              <w:rPr>
                <w:rFonts w:ascii="Times New Roman" w:cs="Times New Roman" w:hAnsi="Times New Roman"/>
              </w:rPr>
            </w:pPr>
          </w:p>
        </w:tc>
        <w:tc>
          <w:tcPr>
            <w:tcW w:w="1197" w:type="dxa"/>
            <w:tcBorders>
              <w:top w:val="single" w:sz="4" w:space="0" w:color="auto"/>
              <w:left w:val="single" w:sz="4" w:space="0" w:color="auto"/>
              <w:bottom w:val="single" w:sz="8" w:space="0" w:color="auto"/>
              <w:right w:val="single" w:sz="4" w:space="0" w:color="auto"/>
            </w:tcBorders>
          </w:tcPr>
          <w:p>
            <w:pPr>
              <w:jc w:val="center"/>
              <w:rPr>
                <w:rFonts w:ascii="Times New Roman" w:cs="Times New Roman" w:hAnsi="Times New Roman"/>
              </w:rPr>
            </w:pPr>
            <w:r>
              <w:rPr>
                <w:rFonts w:ascii="Times New Roman" w:cs="Times New Roman" w:hAnsi="Times New Roman"/>
              </w:rPr>
              <w:t>申请日期</w:t>
            </w:r>
          </w:p>
        </w:tc>
        <w:tc>
          <w:tcPr>
            <w:tcW w:w="1705" w:type="dxa"/>
            <w:tcBorders>
              <w:top w:val="single" w:sz="4" w:space="0" w:color="auto"/>
              <w:left w:val="single" w:sz="4" w:space="0" w:color="auto"/>
              <w:bottom w:val="single" w:sz="8" w:space="0" w:color="auto"/>
              <w:right w:val="single" w:sz="8" w:space="0" w:color="auto"/>
            </w:tcBorders>
          </w:tcPr>
          <w:p>
            <w:pPr>
              <w:rPr>
                <w:rFonts w:ascii="Times New Roman" w:cs="Times New Roman" w:hAnsi="Times New Roman"/>
              </w:rPr>
            </w:pPr>
          </w:p>
        </w:tc>
      </w:tr>
      <w:tr>
        <w:tc>
          <w:tcPr>
            <w:tcW w:w="8519" w:type="dxa"/>
            <w:gridSpan w:val="5"/>
            <w:tcBorders>
              <w:top w:val="single" w:sz="8" w:space="0" w:color="auto"/>
              <w:left w:val="single" w:sz="8" w:space="0" w:color="auto"/>
              <w:bottom w:val="single" w:sz="8" w:space="0" w:color="auto"/>
              <w:right w:val="single" w:sz="8" w:space="0" w:color="auto"/>
              <w:tl2br w:val="nil"/>
              <w:tr2bl w:val="nil"/>
            </w:tcBorders>
          </w:tcPr>
          <w:p>
            <w:pPr>
              <w:pStyle w:val="20"/>
              <w:jc w:val="center"/>
              <w:rPr>
                <w:rFonts w:ascii="Times New Roman" w:cs="Times New Roman" w:hAnsi="Times New Roman"/>
                <w:b/>
                <w:bCs/>
              </w:rPr>
            </w:pPr>
            <w:r>
              <w:rPr>
                <w:rFonts w:ascii="Times New Roman" w:cs="Times New Roman" w:hAnsi="Times New Roman"/>
                <w:b/>
                <w:bCs/>
              </w:rPr>
              <w:t>共性标准</w:t>
            </w:r>
          </w:p>
        </w:tc>
      </w:tr>
      <w:tr>
        <w:tc>
          <w:tcPr>
            <w:tcW w:w="4260" w:type="dxa"/>
            <w:gridSpan w:val="2"/>
            <w:tcBorders>
              <w:top w:val="single" w:sz="8" w:space="0" w:color="auto"/>
              <w:left w:val="single" w:sz="8" w:space="0" w:color="auto"/>
              <w:bottom w:val="single" w:sz="4" w:space="0" w:color="auto"/>
              <w:right w:val="single" w:sz="4" w:space="0" w:color="auto"/>
              <w:tl2br w:val="nil"/>
              <w:tr2bl w:val="nil"/>
            </w:tcBorders>
          </w:tcPr>
          <w:p>
            <w:pPr>
              <w:pStyle w:val="23"/>
              <w:jc w:val="center"/>
              <w:rPr>
                <w:rFonts w:ascii="Times New Roman" w:cs="Times New Roman" w:hAnsi="Times New Roman"/>
              </w:rPr>
            </w:pPr>
            <w:r>
              <w:rPr>
                <w:rFonts w:ascii="Times New Roman" w:cs="Times New Roman" w:hAnsi="Times New Roman"/>
              </w:rPr>
              <w:t>失信企业</w:t>
            </w:r>
          </w:p>
        </w:tc>
        <w:tc>
          <w:tcPr>
            <w:tcW w:w="4259" w:type="dxa"/>
            <w:gridSpan w:val="3"/>
            <w:tcBorders>
              <w:top w:val="single" w:sz="8" w:space="0" w:color="auto"/>
              <w:left w:val="single" w:sz="4" w:space="0" w:color="auto"/>
              <w:bottom w:val="single" w:sz="4" w:space="0" w:color="auto"/>
              <w:right w:val="single" w:sz="8" w:space="0" w:color="auto"/>
              <w:tl2br w:val="nil"/>
              <w:tr2bl w:val="nil"/>
            </w:tcBorders>
          </w:tcPr>
          <w:p>
            <w:pPr>
              <w:pStyle w:val="20"/>
              <w:jc w:val="center"/>
              <w:rPr>
                <w:rFonts w:ascii="Times New Roman" w:cs="Times New Roman" w:hAnsi="Times New Roman"/>
              </w:rPr>
            </w:pPr>
            <w:r>
              <w:rPr>
                <w:rFonts w:ascii="Times New Roman" w:cs="Times New Roman" w:hAnsi="Times New Roman"/>
              </w:rPr>
              <w:t>是□  否□</w:t>
            </w:r>
          </w:p>
        </w:tc>
      </w:tr>
      <w:tr>
        <w:tc>
          <w:tcPr>
            <w:tcW w:w="4260" w:type="dxa"/>
            <w:gridSpan w:val="2"/>
            <w:tcBorders>
              <w:top w:val="single" w:sz="4" w:space="0" w:color="auto"/>
              <w:left w:val="single" w:sz="8" w:space="0" w:color="auto"/>
              <w:bottom w:val="single" w:sz="8" w:space="0" w:color="auto"/>
              <w:right w:val="single" w:sz="4" w:space="0" w:color="auto"/>
              <w:tl2br w:val="nil"/>
              <w:tr2bl w:val="nil"/>
            </w:tcBorders>
          </w:tcPr>
          <w:p>
            <w:pPr>
              <w:pStyle w:val="20"/>
              <w:jc w:val="center"/>
              <w:rPr>
                <w:rFonts w:ascii="Times New Roman" w:cs="Times New Roman" w:hAnsi="Times New Roman"/>
              </w:rPr>
            </w:pPr>
            <w:r>
              <w:rPr>
                <w:rFonts w:ascii="Times New Roman" w:cs="Times New Roman" w:hAnsi="Times New Roman"/>
              </w:rPr>
              <w:t>一年内集成电路产业相关进出口业务</w:t>
            </w:r>
          </w:p>
        </w:tc>
        <w:tc>
          <w:tcPr>
            <w:tcW w:w="4259" w:type="dxa"/>
            <w:gridSpan w:val="3"/>
            <w:tcBorders>
              <w:top w:val="single" w:sz="4" w:space="0" w:color="auto"/>
              <w:left w:val="single" w:sz="4" w:space="0" w:color="auto"/>
              <w:bottom w:val="single" w:sz="8" w:space="0" w:color="auto"/>
              <w:right w:val="single" w:sz="8" w:space="0" w:color="auto"/>
              <w:tl2br w:val="nil"/>
              <w:tr2bl w:val="nil"/>
            </w:tcBorders>
          </w:tcPr>
          <w:p>
            <w:pPr>
              <w:pStyle w:val="20"/>
              <w:jc w:val="center"/>
              <w:rPr>
                <w:rFonts w:ascii="Times New Roman" w:cs="Times New Roman" w:hAnsi="Times New Roman"/>
              </w:rPr>
            </w:pPr>
            <w:r>
              <w:rPr>
                <w:rFonts w:ascii="Times New Roman" w:cs="Times New Roman" w:hAnsi="Times New Roman"/>
              </w:rPr>
              <w:t>是□  否□</w:t>
            </w:r>
          </w:p>
        </w:tc>
      </w:tr>
      <w:tr>
        <w:tc>
          <w:tcPr>
            <w:tcW w:w="8519" w:type="dxa"/>
            <w:gridSpan w:val="5"/>
            <w:tcBorders>
              <w:top w:val="single" w:sz="8" w:space="0" w:color="auto"/>
              <w:left w:val="single" w:sz="8" w:space="0" w:color="auto"/>
              <w:bottom w:val="single" w:sz="8" w:space="0" w:color="auto"/>
              <w:right w:val="single" w:sz="8" w:space="0" w:color="auto"/>
              <w:tl2br w:val="nil"/>
              <w:tr2bl w:val="nil"/>
            </w:tcBorders>
            <w:vAlign w:val="center"/>
          </w:tcPr>
          <w:p>
            <w:pPr>
              <w:jc w:val="center"/>
              <w:rPr>
                <w:rFonts w:ascii="Times New Roman" w:eastAsia="方正仿宋_GBK" w:cs="Times New Roman" w:hAnsi="Times New Roman"/>
                <w:b/>
                <w:bCs/>
                <w:szCs w:val="21"/>
              </w:rPr>
            </w:pPr>
            <w:r>
              <w:rPr>
                <w:rFonts w:ascii="Times New Roman" w:cs="Times New Roman" w:hAnsi="Times New Roman"/>
                <w:b/>
                <w:bCs/>
              </w:rPr>
              <w:t>分类标准</w:t>
            </w:r>
          </w:p>
        </w:tc>
      </w:tr>
      <w:tr>
        <w:tc>
          <w:tcPr>
            <w:tcW w:w="5617" w:type="dxa"/>
            <w:gridSpan w:val="3"/>
            <w:tcBorders>
              <w:top w:val="single" w:sz="8" w:space="0" w:color="auto"/>
              <w:left w:val="single" w:sz="4" w:space="0" w:color="auto"/>
              <w:bottom w:val="single" w:sz="4" w:space="0" w:color="auto"/>
              <w:right w:val="single" w:sz="4" w:space="0" w:color="auto"/>
            </w:tcBorders>
            <w:vAlign w:val="center"/>
          </w:tcPr>
          <w:p>
            <w:pPr>
              <w:pStyle w:val="18"/>
              <w:jc w:val="center"/>
              <w:rPr>
                <w:rFonts w:ascii="Times New Roman" w:eastAsia="方正仿宋_GBK" w:cs="Times New Roman" w:hAnsi="Times New Roman"/>
                <w:szCs w:val="21"/>
              </w:rPr>
            </w:pPr>
            <w:r>
              <w:rPr>
                <w:rFonts w:ascii="Times New Roman" w:cs="Times New Roman" w:hAnsi="Times New Roman"/>
                <w:szCs w:val="21"/>
              </w:rPr>
              <w:t>优惠措施</w:t>
            </w:r>
          </w:p>
        </w:tc>
        <w:tc>
          <w:tcPr>
            <w:tcW w:w="1197" w:type="dxa"/>
            <w:tcBorders>
              <w:top w:val="single" w:sz="8" w:space="0" w:color="auto"/>
              <w:left w:val="single" w:sz="4" w:space="0" w:color="auto"/>
              <w:bottom w:val="single" w:sz="4" w:space="0" w:color="auto"/>
              <w:right w:val="single" w:sz="4" w:space="0" w:color="auto"/>
            </w:tcBorders>
          </w:tcPr>
          <w:p>
            <w:pPr>
              <w:jc w:val="center"/>
              <w:rPr>
                <w:rFonts w:ascii="Times New Roman" w:cs="Times New Roman" w:hAnsi="Times New Roman"/>
                <w:szCs w:val="21"/>
              </w:rPr>
            </w:pPr>
            <w:r>
              <w:rPr>
                <w:rFonts w:ascii="Times New Roman" w:cs="Times New Roman" w:hAnsi="Times New Roman"/>
                <w:szCs w:val="21"/>
              </w:rPr>
              <w:t>企业需求</w:t>
            </w:r>
          </w:p>
        </w:tc>
        <w:tc>
          <w:tcPr>
            <w:tcW w:w="1705" w:type="dxa"/>
            <w:tcBorders>
              <w:top w:val="single" w:sz="8" w:space="0" w:color="auto"/>
              <w:left w:val="single" w:sz="4" w:space="0" w:color="auto"/>
              <w:bottom w:val="single" w:sz="4" w:space="0" w:color="auto"/>
              <w:right w:val="single" w:sz="4" w:space="0" w:color="auto"/>
            </w:tcBorders>
          </w:tcPr>
          <w:p>
            <w:pPr>
              <w:rPr>
                <w:rFonts w:ascii="Times New Roman" w:cs="Times New Roman" w:hAnsi="Times New Roman"/>
                <w:szCs w:val="21"/>
              </w:rPr>
            </w:pPr>
            <w:r>
              <w:rPr>
                <w:rFonts w:ascii="Times New Roman" w:cs="Times New Roman" w:hAnsi="Times New Roman"/>
                <w:szCs w:val="21"/>
              </w:rPr>
              <w:t>主管海关意见</w:t>
            </w:r>
          </w:p>
        </w:tc>
      </w:tr>
      <w:tr>
        <w:trPr>
          <w:trHeight w:hRule="exact" w:val="680"/>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1.通关绿色通道”，提供专人跟踪、专窗服务，支持提前申报、两步申报、汇总征税等模式，加快进出口通关速度。</w:t>
            </w:r>
          </w:p>
        </w:tc>
        <w:tc>
          <w:tcPr>
            <w:tcW w:w="1197" w:type="dxa"/>
            <w:tcBorders>
              <w:top w:val="single" w:sz="4" w:space="0" w:color="auto"/>
              <w:left w:val="single" w:sz="4" w:space="0" w:color="auto"/>
              <w:bottom w:val="single" w:sz="4" w:space="0" w:color="auto"/>
              <w:right w:val="single" w:sz="4" w:space="0" w:color="auto"/>
            </w:tcBorders>
          </w:tcPr>
          <w:p>
            <w:pPr>
              <w:spacing w:line="48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tcBorders>
              <w:top w:val="single" w:sz="4" w:space="0" w:color="auto"/>
              <w:left w:val="single" w:sz="4" w:space="0" w:color="auto"/>
              <w:bottom w:val="single" w:sz="4" w:space="0" w:color="auto"/>
              <w:right w:val="single" w:sz="4" w:space="0" w:color="auto"/>
            </w:tcBorders>
          </w:tcPr>
          <w:p>
            <w:pPr>
              <w:spacing w:line="480" w:lineRule="auto"/>
              <w:rPr>
                <w:rFonts w:ascii="Times New Roman" w:cs="Times New Roman" w:hAnsi="Times New Roman"/>
                <w:szCs w:val="21"/>
              </w:rPr>
            </w:pPr>
            <w:r>
              <w:rPr>
                <w:rFonts w:ascii="Times New Roman" w:cs="Times New Roman" w:hAnsi="Times New Roman"/>
                <w:szCs w:val="21"/>
              </w:rPr>
              <w:t>是/否符合条件</w:t>
            </w: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2.通关疑难问题沟通解决机制，提供归类、审价、原产地、贸易管制等专业化服务。</w:t>
            </w:r>
          </w:p>
        </w:tc>
        <w:tc>
          <w:tcPr>
            <w:tcW w:w="1197" w:type="dxa"/>
            <w:tcBorders>
              <w:top w:val="single" w:sz="4" w:space="0" w:color="auto"/>
              <w:left w:val="single" w:sz="4" w:space="0" w:color="auto"/>
              <w:bottom w:val="single" w:sz="4" w:space="0" w:color="auto"/>
              <w:right w:val="single" w:sz="4" w:space="0" w:color="auto"/>
            </w:tcBorders>
          </w:tcPr>
          <w:p>
            <w:pPr>
              <w:spacing w:line="48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tcBorders>
              <w:top w:val="single" w:sz="4" w:space="0" w:color="auto"/>
              <w:left w:val="single" w:sz="4" w:space="0" w:color="auto"/>
              <w:bottom w:val="single" w:sz="4" w:space="0" w:color="auto"/>
              <w:right w:val="single" w:sz="4" w:space="0" w:color="auto"/>
            </w:tcBorders>
          </w:tcPr>
          <w:p>
            <w:pPr>
              <w:spacing w:line="480" w:lineRule="auto"/>
              <w:rPr>
                <w:rFonts w:ascii="Times New Roman" w:cs="Times New Roman" w:hAnsi="Times New Roman"/>
                <w:szCs w:val="21"/>
              </w:rPr>
            </w:pPr>
            <w:r>
              <w:rPr>
                <w:rFonts w:ascii="Times New Roman" w:cs="Times New Roman" w:hAnsi="Times New Roman"/>
                <w:szCs w:val="21"/>
              </w:rPr>
              <w:t>是/否符合条件</w:t>
            </w: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3.海关引导依法合规申报，减少涉税申报要素差错。</w:t>
            </w:r>
          </w:p>
        </w:tc>
        <w:tc>
          <w:tcPr>
            <w:tcW w:w="1197" w:type="dxa"/>
            <w:tcBorders>
              <w:top w:val="single" w:sz="4" w:space="0" w:color="auto"/>
              <w:left w:val="single" w:sz="4" w:space="0" w:color="auto"/>
              <w:bottom w:val="single" w:sz="4" w:space="0" w:color="auto"/>
              <w:right w:val="single" w:sz="4" w:space="0" w:color="auto"/>
            </w:tcBorders>
          </w:tcPr>
          <w:p>
            <w:pPr>
              <w:jc w:val="center"/>
              <w:rPr>
                <w:rFonts w:ascii="Times New Roman" w:cs="Times New Roman" w:hAnsi="Times New Roman"/>
                <w:szCs w:val="21"/>
              </w:rPr>
            </w:pPr>
            <w:r>
              <w:rPr>
                <w:rFonts w:ascii="Times New Roman" w:cs="Times New Roman" w:hAnsi="Times New Roman"/>
                <w:szCs w:val="21"/>
              </w:rPr>
              <w:t>是□  否□</w:t>
            </w:r>
          </w:p>
        </w:tc>
        <w:tc>
          <w:tcPr>
            <w:tcW w:w="1705" w:type="dxa"/>
            <w:tcBorders>
              <w:top w:val="single" w:sz="4" w:space="0" w:color="auto"/>
              <w:left w:val="single" w:sz="4" w:space="0" w:color="auto"/>
              <w:bottom w:val="single" w:sz="4" w:space="0" w:color="auto"/>
              <w:right w:val="single" w:sz="4" w:space="0" w:color="auto"/>
            </w:tcBorders>
          </w:tcPr>
          <w:p>
            <w:pPr>
              <w:rPr>
                <w:rFonts w:ascii="Times New Roman" w:cs="Times New Roman" w:hAnsi="Times New Roman"/>
                <w:szCs w:val="21"/>
              </w:rPr>
            </w:pPr>
            <w:r>
              <w:rPr>
                <w:rFonts w:ascii="Times New Roman" w:cs="Times New Roman" w:hAnsi="Times New Roman"/>
                <w:szCs w:val="21"/>
              </w:rPr>
              <w:t>是/否符合条件</w:t>
            </w:r>
          </w:p>
        </w:tc>
      </w:tr>
      <w:tr>
        <w:trPr>
          <w:trHeight w:hRule="exact" w:val="680"/>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4.以“无代价抵偿”方式办理审批及进出口报关，除海关认为确有必要外，可免于提交商品检验证明书等相关证明文件。</w:t>
            </w:r>
          </w:p>
        </w:tc>
        <w:tc>
          <w:tcPr>
            <w:tcW w:w="1197" w:type="dxa"/>
            <w:tcBorders>
              <w:top w:val="single" w:sz="4" w:space="0" w:color="auto"/>
              <w:left w:val="single" w:sz="4" w:space="0" w:color="auto"/>
              <w:bottom w:val="single" w:sz="4" w:space="0" w:color="auto"/>
              <w:right w:val="single" w:sz="4" w:space="0" w:color="auto"/>
            </w:tcBorders>
          </w:tcPr>
          <w:p>
            <w:pPr>
              <w:spacing w:line="480" w:lineRule="auto"/>
              <w:jc w:val="center"/>
              <w:rPr>
                <w:rFonts w:ascii="Times New Roman" w:cs="Times New Roman" w:hAnsi="Times New Roman"/>
                <w:szCs w:val="21"/>
              </w:rPr>
            </w:pPr>
            <w:r>
              <w:rPr>
                <w:rFonts w:ascii="Times New Roman" w:cs="Times New Roman" w:hAnsi="Times New Roman"/>
                <w:szCs w:val="21"/>
              </w:rPr>
              <w:t>是</w:t>
            </w:r>
            <w:r>
              <w:rPr>
                <w:rFonts w:ascii="Times New Roman" w:cs="Times New Roman" w:hAnsi="Times New Roman"/>
                <w:szCs w:val="21"/>
              </w:rPr>
              <w:sym w:font="Wingdings 2" w:char="F052"/>
            </w:r>
            <w:r>
              <w:rPr>
                <w:rFonts w:ascii="Times New Roman" w:cs="Times New Roman" w:hAnsi="Times New Roman"/>
                <w:szCs w:val="21"/>
              </w:rPr>
              <w:t xml:space="preserve">  否□</w:t>
            </w:r>
          </w:p>
        </w:tc>
        <w:tc>
          <w:tcPr>
            <w:tcW w:w="1705" w:type="dxa"/>
            <w:tcBorders>
              <w:top w:val="single" w:sz="4" w:space="0" w:color="auto"/>
              <w:left w:val="single" w:sz="4" w:space="0" w:color="auto"/>
              <w:bottom w:val="single" w:sz="4" w:space="0" w:color="auto"/>
              <w:right w:val="single" w:sz="4" w:space="0" w:color="auto"/>
            </w:tcBorders>
          </w:tcPr>
          <w:p>
            <w:pPr>
              <w:spacing w:line="480" w:lineRule="auto"/>
              <w:rPr>
                <w:rFonts w:ascii="Times New Roman" w:cs="Times New Roman" w:hAnsi="Times New Roman"/>
                <w:szCs w:val="21"/>
              </w:rPr>
            </w:pPr>
            <w:r>
              <w:rPr>
                <w:rFonts w:ascii="Times New Roman" w:cs="Times New Roman" w:hAnsi="Times New Roman"/>
                <w:szCs w:val="21"/>
              </w:rPr>
              <w:t>是/否符合条件</w:t>
            </w: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5.依托上海海关跨境贸易大数据平台，开展整体性安全评估，对评估为安全评级的集成电路产业链供应链适用较低的抽样送检比例。</w:t>
            </w:r>
          </w:p>
        </w:tc>
        <w:tc>
          <w:tcPr>
            <w:tcW w:w="1197" w:type="dxa"/>
            <w:tcBorders>
              <w:top w:val="single" w:sz="4" w:space="0" w:color="auto"/>
              <w:left w:val="single" w:sz="4" w:space="0" w:color="auto"/>
              <w:bottom w:val="single" w:sz="4" w:space="0" w:color="auto"/>
              <w:right w:val="single" w:sz="4" w:space="0" w:color="auto"/>
            </w:tcBorders>
          </w:tcPr>
          <w:p>
            <w:pPr>
              <w:spacing w:line="72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tcBorders>
              <w:top w:val="single" w:sz="4" w:space="0" w:color="auto"/>
              <w:left w:val="single" w:sz="4" w:space="0" w:color="auto"/>
              <w:bottom w:val="single" w:sz="4" w:space="0" w:color="auto"/>
              <w:right w:val="single" w:sz="4" w:space="0" w:color="auto"/>
            </w:tcBorders>
          </w:tcPr>
          <w:p>
            <w:pPr>
              <w:spacing w:line="720" w:lineRule="auto"/>
              <w:rPr>
                <w:rFonts w:ascii="Times New Roman" w:cs="Times New Roman" w:hAnsi="Times New Roman"/>
                <w:szCs w:val="21"/>
              </w:rPr>
            </w:pPr>
            <w:r>
              <w:rPr>
                <w:rFonts w:ascii="Times New Roman" w:cs="Times New Roman" w:hAnsi="Times New Roman"/>
                <w:szCs w:val="21"/>
              </w:rPr>
              <w:t>是/否符合条件</w:t>
            </w: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6.</w:t>
            </w:r>
            <w:r>
              <w:rPr>
                <w:rFonts w:cs="Times New Roman" w:hint="eastAsia"/>
                <w:szCs w:val="21"/>
              </w:rPr>
              <w:t>对经风险评估的高新技术企业进出口的</w:t>
            </w:r>
            <w:r>
              <w:rPr>
                <w:rFonts w:cs="Times New Roman"/>
                <w:szCs w:val="21"/>
              </w:rPr>
              <w:t>真空包装、</w:t>
            </w:r>
            <w:r>
              <w:rPr>
                <w:rFonts w:cs="Times New Roman" w:hint="eastAsia"/>
                <w:szCs w:val="21"/>
              </w:rPr>
              <w:t>防光防尘包装</w:t>
            </w:r>
            <w:r>
              <w:rPr>
                <w:rFonts w:cs="Times New Roman"/>
                <w:szCs w:val="21"/>
              </w:rPr>
              <w:t>、恒温储存等高新技术货物，采取事前风险评估备案、事中布控流程控制、事后风险验证管理模式。</w:t>
            </w:r>
          </w:p>
        </w:tc>
        <w:tc>
          <w:tcPr>
            <w:tcW w:w="1197" w:type="dxa"/>
            <w:vMerge w:val="restart"/>
            <w:tcBorders>
              <w:top w:val="single" w:sz="4" w:space="0" w:color="auto"/>
              <w:left w:val="single" w:sz="4" w:space="0" w:color="auto"/>
              <w:bottom w:val="single" w:sz="4" w:space="0" w:color="auto"/>
              <w:right w:val="single" w:sz="4" w:space="0" w:color="auto"/>
            </w:tcBorders>
          </w:tcPr>
          <w:p>
            <w:pPr>
              <w:spacing w:line="72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vMerge w:val="restart"/>
            <w:tcBorders>
              <w:top w:val="single" w:sz="4" w:space="0" w:color="auto"/>
              <w:left w:val="single" w:sz="4" w:space="0" w:color="auto"/>
              <w:bottom w:val="single" w:sz="4" w:space="0" w:color="auto"/>
              <w:right w:val="single" w:sz="4" w:space="0" w:color="auto"/>
            </w:tcBorders>
          </w:tcPr>
          <w:p>
            <w:pPr>
              <w:spacing w:line="720" w:lineRule="auto"/>
              <w:rPr>
                <w:rFonts w:ascii="Times New Roman" w:cs="Times New Roman" w:hAnsi="Times New Roman"/>
                <w:szCs w:val="21"/>
              </w:rPr>
            </w:pPr>
            <w:r>
              <w:rPr>
                <w:rFonts w:ascii="Times New Roman" w:cs="Times New Roman" w:hAnsi="Times New Roman"/>
                <w:szCs w:val="21"/>
              </w:rPr>
              <w:t>是/否符合条件</w:t>
            </w: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hint="eastAsia"/>
                <w:szCs w:val="21"/>
              </w:rPr>
              <w:t>【</w:t>
            </w:r>
            <w:r>
              <w:rPr>
                <w:rFonts w:cs="Times New Roman"/>
                <w:szCs w:val="21"/>
              </w:rPr>
              <w:t>6</w:t>
            </w:r>
            <w:r>
              <w:rPr>
                <w:rFonts w:cs="Times New Roman" w:hint="eastAsia"/>
                <w:szCs w:val="21"/>
              </w:rPr>
              <w:t>-</w:t>
            </w:r>
            <w:r>
              <w:rPr>
                <w:rFonts w:cs="Times New Roman"/>
                <w:szCs w:val="21"/>
              </w:rPr>
              <w:t>准入退出标准</w:t>
            </w:r>
            <w:r>
              <w:rPr>
                <w:rFonts w:cs="Times New Roman" w:hint="eastAsia"/>
                <w:szCs w:val="21"/>
              </w:rPr>
              <w:t>】</w:t>
            </w:r>
            <w:r>
              <w:rPr>
                <w:rFonts w:cs="Times New Roman"/>
                <w:szCs w:val="21"/>
              </w:rPr>
              <w:t>：符合真空包装等高新技术货物布控查验模式试点准入</w:t>
            </w:r>
          </w:p>
        </w:tc>
        <w:tc>
          <w:tcPr>
            <w:tcW w:w="1197" w:type="dxa"/>
            <w:vMerge/>
            <w:tcBorders>
              <w:top w:val="single" w:sz="4" w:space="0" w:color="auto"/>
              <w:left w:val="single" w:sz="4" w:space="0" w:color="auto"/>
              <w:bottom w:val="single" w:sz="4" w:space="0" w:color="auto"/>
              <w:right w:val="single" w:sz="4" w:space="0" w:color="auto"/>
            </w:tcBorders>
          </w:tcPr>
          <w:p/>
        </w:tc>
        <w:tc>
          <w:tcPr>
            <w:tcW w:w="1705" w:type="dxa"/>
            <w:vMerge/>
            <w:tcBorders>
              <w:top w:val="single" w:sz="4" w:space="0" w:color="auto"/>
              <w:left w:val="single" w:sz="4" w:space="0" w:color="auto"/>
              <w:bottom w:val="single" w:sz="4" w:space="0" w:color="auto"/>
              <w:right w:val="single" w:sz="4" w:space="0" w:color="auto"/>
            </w:tcBorders>
          </w:tcP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7.对木质包装货物实施“直通式”检疫，木质包装随货物由属地海关实施检疫防控。</w:t>
            </w:r>
          </w:p>
        </w:tc>
        <w:tc>
          <w:tcPr>
            <w:tcW w:w="1197" w:type="dxa"/>
            <w:tcBorders>
              <w:top w:val="single" w:sz="4" w:space="0" w:color="auto"/>
              <w:left w:val="single" w:sz="4" w:space="0" w:color="auto"/>
              <w:bottom w:val="single" w:sz="4" w:space="0" w:color="auto"/>
              <w:right w:val="single" w:sz="4" w:space="0" w:color="auto"/>
            </w:tcBorders>
          </w:tcPr>
          <w:p>
            <w:pPr>
              <w:spacing w:line="48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tcBorders>
              <w:top w:val="single" w:sz="4" w:space="0" w:color="auto"/>
              <w:left w:val="single" w:sz="4" w:space="0" w:color="auto"/>
              <w:bottom w:val="single" w:sz="4" w:space="0" w:color="auto"/>
              <w:right w:val="single" w:sz="4" w:space="0" w:color="auto"/>
            </w:tcBorders>
          </w:tcPr>
          <w:p>
            <w:pPr>
              <w:spacing w:line="480" w:lineRule="auto"/>
              <w:rPr>
                <w:rFonts w:ascii="Times New Roman" w:cs="Times New Roman" w:hAnsi="Times New Roman"/>
                <w:szCs w:val="21"/>
              </w:rPr>
            </w:pPr>
            <w:r>
              <w:rPr>
                <w:rFonts w:ascii="Times New Roman" w:cs="Times New Roman" w:hAnsi="Times New Roman"/>
                <w:szCs w:val="21"/>
              </w:rPr>
              <w:t>是/否符合条件</w:t>
            </w:r>
          </w:p>
        </w:tc>
      </w:tr>
      <w:tr>
        <w:trPr>
          <w:trHeight w:hRule="exact" w:val="680"/>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8.对进口用于维修零备件的非高风险金属材料，经风险评估后，采取“符合性评估+合格保证”等合格评定模式。</w:t>
            </w:r>
          </w:p>
        </w:tc>
        <w:tc>
          <w:tcPr>
            <w:tcW w:w="1197" w:type="dxa"/>
            <w:tcBorders>
              <w:top w:val="single" w:sz="4" w:space="0" w:color="auto"/>
              <w:left w:val="single" w:sz="4" w:space="0" w:color="auto"/>
              <w:bottom w:val="single" w:sz="4" w:space="0" w:color="auto"/>
              <w:right w:val="single" w:sz="4" w:space="0" w:color="auto"/>
            </w:tcBorders>
          </w:tcPr>
          <w:p>
            <w:pPr>
              <w:spacing w:line="48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tcBorders>
              <w:top w:val="single" w:sz="4" w:space="0" w:color="auto"/>
              <w:left w:val="single" w:sz="4" w:space="0" w:color="auto"/>
              <w:bottom w:val="single" w:sz="4" w:space="0" w:color="auto"/>
              <w:right w:val="single" w:sz="4" w:space="0" w:color="auto"/>
            </w:tcBorders>
          </w:tcPr>
          <w:p>
            <w:pPr>
              <w:spacing w:line="480" w:lineRule="auto"/>
              <w:rPr>
                <w:rFonts w:ascii="Times New Roman" w:cs="Times New Roman" w:hAnsi="Times New Roman"/>
                <w:szCs w:val="21"/>
              </w:rPr>
            </w:pPr>
            <w:r>
              <w:rPr>
                <w:rFonts w:ascii="Times New Roman" w:cs="Times New Roman" w:hAnsi="Times New Roman"/>
                <w:szCs w:val="21"/>
              </w:rPr>
              <w:t>是/否符合条件</w:t>
            </w:r>
          </w:p>
        </w:tc>
      </w:tr>
      <w:tr>
        <w:trPr>
          <w:trHeight w:val="613"/>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9.对进口的光刻胶灵活应用多种合格评定模式，检验通关便利化。</w:t>
            </w:r>
          </w:p>
        </w:tc>
        <w:tc>
          <w:tcPr>
            <w:tcW w:w="1197" w:type="dxa"/>
            <w:vMerge w:val="restart"/>
            <w:tcBorders>
              <w:top w:val="single" w:sz="4" w:space="0" w:color="auto"/>
              <w:left w:val="single" w:sz="4" w:space="0" w:color="auto"/>
              <w:right w:val="single" w:sz="4" w:space="0" w:color="auto"/>
            </w:tcBorders>
          </w:tcPr>
          <w:p>
            <w:pPr>
              <w:pStyle w:val="25"/>
              <w:spacing w:line="96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vMerge w:val="restart"/>
            <w:tcBorders>
              <w:top w:val="single" w:sz="4" w:space="0" w:color="auto"/>
              <w:left w:val="single" w:sz="4" w:space="0" w:color="auto"/>
              <w:right w:val="single" w:sz="4" w:space="0" w:color="auto"/>
            </w:tcBorders>
          </w:tcPr>
          <w:p>
            <w:pPr>
              <w:pStyle w:val="26"/>
              <w:spacing w:line="960" w:lineRule="auto"/>
              <w:rPr>
                <w:rFonts w:ascii="Times New Roman" w:cs="Times New Roman" w:hAnsi="Times New Roman"/>
                <w:szCs w:val="21"/>
              </w:rPr>
            </w:pPr>
            <w:r>
              <w:rPr>
                <w:rFonts w:ascii="Times New Roman" w:cs="Times New Roman" w:hAnsi="Times New Roman"/>
                <w:szCs w:val="21"/>
              </w:rPr>
              <w:t>是/否符合条件</w:t>
            </w:r>
          </w:p>
        </w:tc>
      </w:tr>
      <w:tr>
        <w:trPr>
          <w:trHeight w:val="343"/>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hint="eastAsia"/>
                <w:szCs w:val="21"/>
              </w:rPr>
              <w:t>【9-</w:t>
            </w:r>
            <w:r>
              <w:rPr>
                <w:rFonts w:cs="Times New Roman"/>
                <w:szCs w:val="21"/>
              </w:rPr>
              <w:t>退出标准</w:t>
            </w:r>
            <w:r>
              <w:rPr>
                <w:rFonts w:cs="Times New Roman" w:hint="eastAsia"/>
                <w:szCs w:val="21"/>
              </w:rPr>
              <w:t>】</w:t>
            </w:r>
            <w:r>
              <w:rPr>
                <w:rFonts w:cs="Times New Roman"/>
                <w:szCs w:val="21"/>
              </w:rPr>
              <w:t>：光刻胶进口企业存在伪瞒报、谎报行为的。</w:t>
            </w:r>
          </w:p>
        </w:tc>
        <w:tc>
          <w:tcPr>
            <w:tcW w:w="1197" w:type="dxa"/>
            <w:vMerge/>
            <w:tcBorders>
              <w:top w:val="single" w:sz="4" w:space="0" w:color="auto"/>
              <w:left w:val="single" w:sz="4" w:space="0" w:color="auto"/>
              <w:bottom w:val="single" w:sz="4" w:space="0" w:color="auto"/>
              <w:right w:val="single" w:sz="4" w:space="0" w:color="auto"/>
            </w:tcBorders>
          </w:tcPr>
          <w:p/>
        </w:tc>
        <w:tc>
          <w:tcPr>
            <w:tcW w:w="1705" w:type="dxa"/>
            <w:vMerge/>
            <w:tcBorders>
              <w:top w:val="single" w:sz="4" w:space="0" w:color="auto"/>
              <w:left w:val="single" w:sz="4" w:space="0" w:color="auto"/>
              <w:bottom w:val="single" w:sz="4" w:space="0" w:color="auto"/>
              <w:right w:val="single" w:sz="4" w:space="0" w:color="auto"/>
            </w:tcBorders>
          </w:tcPr>
          <w:p/>
        </w:tc>
      </w:tr>
      <w:tr>
        <w:trPr>
          <w:trHeight w:val="925"/>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10.对进口成套设备实施“项目制管理、集中受理”监管；对随成套项目及维修用的进口零备件灵活应用多种合格评定模式实施检验，加快设备投产时效。</w:t>
            </w:r>
          </w:p>
        </w:tc>
        <w:tc>
          <w:tcPr>
            <w:tcW w:w="1197" w:type="dxa"/>
            <w:vMerge w:val="restart"/>
            <w:tcBorders>
              <w:top w:val="single" w:sz="4" w:space="0" w:color="auto"/>
              <w:left w:val="single" w:sz="4" w:space="0" w:color="auto"/>
              <w:right w:val="single" w:sz="4" w:space="0" w:color="auto"/>
            </w:tcBorders>
          </w:tcPr>
          <w:p>
            <w:pPr>
              <w:pStyle w:val="27"/>
              <w:spacing w:line="120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vMerge w:val="restart"/>
            <w:tcBorders>
              <w:top w:val="single" w:sz="4" w:space="0" w:color="auto"/>
              <w:left w:val="single" w:sz="4" w:space="0" w:color="auto"/>
              <w:right w:val="single" w:sz="4" w:space="0" w:color="auto"/>
            </w:tcBorders>
          </w:tcPr>
          <w:p>
            <w:pPr>
              <w:pStyle w:val="28"/>
              <w:spacing w:line="1200" w:lineRule="auto"/>
              <w:rPr>
                <w:rFonts w:ascii="Times New Roman" w:cs="Times New Roman" w:hAnsi="Times New Roman"/>
                <w:szCs w:val="21"/>
              </w:rPr>
            </w:pPr>
            <w:r>
              <w:rPr>
                <w:rFonts w:ascii="Times New Roman" w:cs="Times New Roman" w:hAnsi="Times New Roman"/>
                <w:szCs w:val="21"/>
              </w:rPr>
              <w:t>是/否符合条件</w:t>
            </w:r>
          </w:p>
        </w:tc>
      </w:tr>
      <w:tr>
        <w:trPr>
          <w:trHeight w:val="613"/>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hint="eastAsia"/>
                <w:szCs w:val="21"/>
              </w:rPr>
              <w:t>【10-</w:t>
            </w:r>
            <w:r>
              <w:rPr>
                <w:rFonts w:cs="Times New Roman"/>
                <w:szCs w:val="21"/>
              </w:rPr>
              <w:t>退出标准</w:t>
            </w:r>
            <w:r>
              <w:rPr>
                <w:rFonts w:cs="Times New Roman" w:hint="eastAsia"/>
                <w:szCs w:val="21"/>
              </w:rPr>
              <w:t>】</w:t>
            </w:r>
            <w:r>
              <w:rPr>
                <w:rFonts w:cs="Times New Roman"/>
                <w:szCs w:val="21"/>
              </w:rPr>
              <w:t>：成套设备进口企业存在伪瞒报等违法违规行为的。</w:t>
            </w:r>
          </w:p>
        </w:tc>
        <w:tc>
          <w:tcPr>
            <w:tcW w:w="1197" w:type="dxa"/>
            <w:vMerge/>
            <w:tcBorders>
              <w:top w:val="single" w:sz="4" w:space="0" w:color="auto"/>
              <w:left w:val="single" w:sz="4" w:space="0" w:color="auto"/>
              <w:bottom w:val="single" w:sz="4" w:space="0" w:color="auto"/>
              <w:right w:val="single" w:sz="4" w:space="0" w:color="auto"/>
            </w:tcBorders>
          </w:tcPr>
          <w:p/>
        </w:tc>
        <w:tc>
          <w:tcPr>
            <w:tcW w:w="1705" w:type="dxa"/>
            <w:vMerge/>
            <w:tcBorders>
              <w:top w:val="single" w:sz="4" w:space="0" w:color="auto"/>
              <w:left w:val="single" w:sz="4" w:space="0" w:color="auto"/>
              <w:bottom w:val="single" w:sz="4" w:space="0" w:color="auto"/>
              <w:right w:val="single" w:sz="4" w:space="0" w:color="auto"/>
            </w:tcBorders>
          </w:tcP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bCs/>
                <w:szCs w:val="21"/>
              </w:rPr>
            </w:pPr>
            <w:r>
              <w:rPr>
                <w:rFonts w:cs="Times New Roman"/>
                <w:szCs w:val="21"/>
              </w:rPr>
              <w:t>11.可以企业集团财务公司担保、关税保证保险等方式向海关提供税收担保。</w:t>
            </w:r>
          </w:p>
        </w:tc>
        <w:tc>
          <w:tcPr>
            <w:tcW w:w="1197" w:type="dxa"/>
            <w:tcBorders>
              <w:top w:val="single" w:sz="4" w:space="0" w:color="auto"/>
              <w:left w:val="single" w:sz="4" w:space="0" w:color="auto"/>
              <w:bottom w:val="single" w:sz="4" w:space="0" w:color="auto"/>
              <w:right w:val="single" w:sz="4" w:space="0" w:color="auto"/>
            </w:tcBorders>
          </w:tcPr>
          <w:p>
            <w:pPr>
              <w:spacing w:line="48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tcBorders>
              <w:top w:val="single" w:sz="4" w:space="0" w:color="auto"/>
              <w:left w:val="single" w:sz="4" w:space="0" w:color="auto"/>
              <w:bottom w:val="single" w:sz="4" w:space="0" w:color="auto"/>
              <w:right w:val="single" w:sz="4" w:space="0" w:color="auto"/>
            </w:tcBorders>
          </w:tcPr>
          <w:p>
            <w:pPr>
              <w:spacing w:line="480" w:lineRule="auto"/>
              <w:rPr>
                <w:rFonts w:ascii="Times New Roman" w:cs="Times New Roman" w:hAnsi="Times New Roman"/>
                <w:szCs w:val="21"/>
              </w:rPr>
            </w:pPr>
            <w:r>
              <w:rPr>
                <w:rFonts w:ascii="Times New Roman" w:cs="Times New Roman" w:hAnsi="Times New Roman"/>
                <w:szCs w:val="21"/>
              </w:rPr>
              <w:t>是/否符合条件</w:t>
            </w: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12.海关指导享受减免税优惠政策，支持企业用好集成电路、重大技术装备等进口税收优惠政策。</w:t>
            </w:r>
          </w:p>
        </w:tc>
        <w:tc>
          <w:tcPr>
            <w:tcW w:w="1197" w:type="dxa"/>
            <w:tcBorders>
              <w:top w:val="single" w:sz="4" w:space="0" w:color="auto"/>
              <w:left w:val="single" w:sz="4" w:space="0" w:color="auto"/>
              <w:bottom w:val="single" w:sz="4" w:space="0" w:color="auto"/>
              <w:right w:val="single" w:sz="4" w:space="0" w:color="auto"/>
            </w:tcBorders>
          </w:tcPr>
          <w:p>
            <w:pPr>
              <w:spacing w:line="48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tcBorders>
              <w:top w:val="single" w:sz="4" w:space="0" w:color="auto"/>
              <w:left w:val="single" w:sz="4" w:space="0" w:color="auto"/>
              <w:bottom w:val="single" w:sz="4" w:space="0" w:color="auto"/>
              <w:right w:val="single" w:sz="4" w:space="0" w:color="auto"/>
            </w:tcBorders>
          </w:tcPr>
          <w:p>
            <w:pPr>
              <w:spacing w:line="480" w:lineRule="auto"/>
              <w:rPr>
                <w:rFonts w:ascii="Times New Roman" w:cs="Times New Roman" w:hAnsi="Times New Roman"/>
                <w:szCs w:val="21"/>
              </w:rPr>
            </w:pPr>
            <w:r>
              <w:rPr>
                <w:rFonts w:ascii="Times New Roman" w:cs="Times New Roman" w:hAnsi="Times New Roman"/>
                <w:szCs w:val="21"/>
              </w:rPr>
              <w:t>是/否符合条件</w:t>
            </w: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13.对进口原材料、消耗品采取减免税快速审核模式，支持具备条件的企业开展集成电路减免税“快速审核+ERP联网”试点。</w:t>
            </w:r>
          </w:p>
        </w:tc>
        <w:tc>
          <w:tcPr>
            <w:tcW w:w="1197" w:type="dxa"/>
            <w:vMerge w:val="restart"/>
            <w:tcBorders>
              <w:top w:val="single" w:sz="4" w:space="0" w:color="auto"/>
              <w:left w:val="single" w:sz="4" w:space="0" w:color="auto"/>
              <w:bottom w:val="single" w:sz="4" w:space="0" w:color="auto"/>
              <w:right w:val="single" w:sz="4" w:space="0" w:color="auto"/>
            </w:tcBorders>
          </w:tcPr>
          <w:p>
            <w:pPr>
              <w:spacing w:line="72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vMerge w:val="restart"/>
            <w:tcBorders>
              <w:top w:val="single" w:sz="4" w:space="0" w:color="auto"/>
              <w:left w:val="single" w:sz="4" w:space="0" w:color="auto"/>
              <w:bottom w:val="single" w:sz="4" w:space="0" w:color="auto"/>
              <w:right w:val="single" w:sz="4" w:space="0" w:color="auto"/>
            </w:tcBorders>
          </w:tcPr>
          <w:p>
            <w:pPr>
              <w:spacing w:line="720" w:lineRule="auto"/>
              <w:rPr>
                <w:rFonts w:ascii="Times New Roman" w:cs="Times New Roman" w:hAnsi="Times New Roman"/>
                <w:szCs w:val="21"/>
              </w:rPr>
            </w:pPr>
            <w:r>
              <w:rPr>
                <w:rFonts w:ascii="Times New Roman" w:cs="Times New Roman" w:hAnsi="Times New Roman"/>
                <w:szCs w:val="21"/>
              </w:rPr>
              <w:t>是/否符合条件</w:t>
            </w: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hint="eastAsia"/>
                <w:szCs w:val="21"/>
              </w:rPr>
              <w:t>【</w:t>
            </w:r>
            <w:r>
              <w:rPr>
                <w:rFonts w:cs="Times New Roman"/>
                <w:szCs w:val="21"/>
              </w:rPr>
              <w:t>13</w:t>
            </w:r>
            <w:r>
              <w:rPr>
                <w:rFonts w:cs="Times New Roman" w:hint="eastAsia"/>
                <w:szCs w:val="21"/>
              </w:rPr>
              <w:t>-</w:t>
            </w:r>
            <w:r>
              <w:rPr>
                <w:rFonts w:cs="Times New Roman"/>
                <w:szCs w:val="21"/>
              </w:rPr>
              <w:t>准入退出标准</w:t>
            </w:r>
            <w:r>
              <w:rPr>
                <w:rFonts w:cs="Times New Roman" w:hint="eastAsia"/>
                <w:szCs w:val="21"/>
              </w:rPr>
              <w:t>】</w:t>
            </w:r>
            <w:r>
              <w:rPr>
                <w:rFonts w:cs="Times New Roman"/>
                <w:szCs w:val="21"/>
              </w:rPr>
              <w:t>：符合上海海关减免税快速审核准入退出标准。</w:t>
            </w:r>
          </w:p>
        </w:tc>
        <w:tc>
          <w:tcPr>
            <w:tcW w:w="1197" w:type="dxa"/>
            <w:vMerge/>
            <w:tcBorders>
              <w:top w:val="single" w:sz="4" w:space="0" w:color="auto"/>
              <w:left w:val="single" w:sz="4" w:space="0" w:color="auto"/>
              <w:bottom w:val="single" w:sz="4" w:space="0" w:color="auto"/>
              <w:right w:val="single" w:sz="4" w:space="0" w:color="auto"/>
            </w:tcBorders>
          </w:tcPr>
          <w:p/>
        </w:tc>
        <w:tc>
          <w:tcPr>
            <w:tcW w:w="1705" w:type="dxa"/>
            <w:vMerge/>
            <w:tcBorders>
              <w:top w:val="single" w:sz="4" w:space="0" w:color="auto"/>
              <w:left w:val="single" w:sz="4" w:space="0" w:color="auto"/>
              <w:bottom w:val="single" w:sz="4" w:space="0" w:color="auto"/>
              <w:right w:val="single" w:sz="4" w:space="0" w:color="auto"/>
            </w:tcBorders>
          </w:tcPr>
          <w:p/>
        </w:tc>
      </w:tr>
      <w:tr>
        <w:trPr>
          <w:trHeight w:hRule="exact" w:val="1927"/>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cs="Times New Roman"/>
                <w:szCs w:val="21"/>
              </w:rPr>
            </w:pPr>
            <w:r>
              <w:rPr>
                <w:rFonts w:cs="Times New Roman"/>
                <w:szCs w:val="21"/>
              </w:rPr>
              <w:t>14.保税货物可在完成海关备案的场所自主存放。支持保税料件、不作价设备等在试点企业间流转使用，根据企业需要采用余料结转或深加工结转等方式办理手续，对试点企业间保税流转货物原则上不查验。试点企业可对符合串换条件的保税、非保税料件开展自行串换、处置。经所有权人授权同意，来料加工保税料件可以串换。</w:t>
            </w:r>
          </w:p>
        </w:tc>
        <w:tc>
          <w:tcPr>
            <w:tcW w:w="1197" w:type="dxa"/>
            <w:tcBorders>
              <w:top w:val="single" w:sz="4" w:space="0" w:color="auto"/>
              <w:left w:val="single" w:sz="4" w:space="0" w:color="auto"/>
              <w:bottom w:val="single" w:sz="4" w:space="0" w:color="auto"/>
              <w:right w:val="single" w:sz="4" w:space="0" w:color="auto"/>
            </w:tcBorders>
          </w:tcPr>
          <w:p>
            <w:pPr>
              <w:spacing w:line="168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tcBorders>
              <w:top w:val="single" w:sz="4" w:space="0" w:color="auto"/>
              <w:left w:val="single" w:sz="4" w:space="0" w:color="auto"/>
              <w:bottom w:val="single" w:sz="4" w:space="0" w:color="auto"/>
              <w:right w:val="single" w:sz="4" w:space="0" w:color="auto"/>
            </w:tcBorders>
          </w:tcPr>
          <w:p>
            <w:pPr>
              <w:spacing w:line="1680" w:lineRule="auto"/>
              <w:rPr>
                <w:rFonts w:ascii="Times New Roman" w:cs="Times New Roman" w:hAnsi="Times New Roman"/>
                <w:szCs w:val="21"/>
              </w:rPr>
            </w:pPr>
            <w:r>
              <w:rPr>
                <w:rFonts w:ascii="Times New Roman" w:cs="Times New Roman" w:hAnsi="Times New Roman"/>
                <w:szCs w:val="21"/>
              </w:rPr>
              <w:t>是/否符合条件</w:t>
            </w:r>
          </w:p>
        </w:tc>
      </w:tr>
      <w:tr>
        <w:trPr>
          <w:trHeight w:val="925"/>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ascii="Times New Roman" w:eastAsia="方正仿宋_GBK" w:cs="Times New Roman" w:hAnsi="Times New Roman"/>
                <w:szCs w:val="21"/>
              </w:rPr>
            </w:pPr>
            <w:r>
              <w:rPr>
                <w:rFonts w:cs="Times New Roman"/>
                <w:szCs w:val="21"/>
              </w:rPr>
              <w:t>15.企业集团成员间开展外发加工业务免于办理备案手续，其中办理全工序外发的，免于提供担保，企业按规定留存收发货记录。</w:t>
            </w:r>
          </w:p>
        </w:tc>
        <w:tc>
          <w:tcPr>
            <w:tcW w:w="1197" w:type="dxa"/>
            <w:vMerge w:val="restart"/>
            <w:tcBorders>
              <w:top w:val="single" w:sz="4" w:space="0" w:color="auto"/>
              <w:left w:val="single" w:sz="4" w:space="0" w:color="auto"/>
              <w:bottom w:val="single" w:sz="4" w:space="0" w:color="auto"/>
              <w:right w:val="single" w:sz="4" w:space="0" w:color="auto"/>
            </w:tcBorders>
          </w:tcPr>
          <w:p>
            <w:pPr>
              <w:pStyle w:val="29"/>
              <w:spacing w:line="960" w:lineRule="auto"/>
              <w:jc w:val="center"/>
              <w:rPr>
                <w:rFonts w:ascii="Times New Roman" w:cs="Times New Roman" w:hAnsi="Times New Roman"/>
                <w:szCs w:val="21"/>
              </w:rPr>
            </w:pPr>
            <w:r>
              <w:rPr>
                <w:rFonts w:ascii="Times New Roman" w:cs="Times New Roman" w:hAnsi="Times New Roman"/>
                <w:szCs w:val="21"/>
              </w:rPr>
              <w:t>是□  否□</w:t>
            </w:r>
          </w:p>
        </w:tc>
        <w:tc>
          <w:tcPr>
            <w:tcW w:w="1705" w:type="dxa"/>
            <w:vMerge w:val="restart"/>
            <w:tcBorders>
              <w:top w:val="single" w:sz="4" w:space="0" w:color="auto"/>
              <w:left w:val="single" w:sz="4" w:space="0" w:color="auto"/>
              <w:bottom w:val="single" w:sz="4" w:space="0" w:color="auto"/>
              <w:right w:val="single" w:sz="4" w:space="0" w:color="auto"/>
            </w:tcBorders>
          </w:tcPr>
          <w:p>
            <w:pPr>
              <w:pStyle w:val="30"/>
              <w:spacing w:line="960" w:lineRule="auto"/>
              <w:rPr>
                <w:rFonts w:ascii="Times New Roman" w:cs="Times New Roman" w:hAnsi="Times New Roman"/>
                <w:szCs w:val="21"/>
              </w:rPr>
            </w:pPr>
            <w:r>
              <w:rPr>
                <w:rFonts w:ascii="Times New Roman" w:cs="Times New Roman" w:hAnsi="Times New Roman"/>
                <w:szCs w:val="21"/>
              </w:rPr>
              <w:t>是/否符合条件</w:t>
            </w:r>
          </w:p>
        </w:tc>
      </w:tr>
      <w:tr>
        <w:trPr>
          <w:trHeight w:hRule="exact" w:val="340"/>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rFonts w:ascii="Times New Roman" w:eastAsia="方正仿宋_GBK" w:cs="Times New Roman" w:hAnsi="Times New Roman"/>
                <w:szCs w:val="21"/>
              </w:rPr>
            </w:pPr>
            <w:r>
              <w:rPr>
                <w:rFonts w:cs="Times New Roman" w:hint="eastAsia"/>
                <w:szCs w:val="21"/>
              </w:rPr>
              <w:t>【</w:t>
            </w:r>
            <w:r>
              <w:rPr>
                <w:rFonts w:cs="Times New Roman"/>
                <w:szCs w:val="21"/>
              </w:rPr>
              <w:t>15-准入标准</w:t>
            </w:r>
            <w:r>
              <w:rPr>
                <w:rFonts w:cs="Times New Roman" w:hint="eastAsia"/>
                <w:szCs w:val="21"/>
              </w:rPr>
              <w:t>】</w:t>
            </w:r>
            <w:r>
              <w:rPr>
                <w:rFonts w:cs="Times New Roman"/>
                <w:szCs w:val="21"/>
              </w:rPr>
              <w:t>：符合企业集团保税监管改革试点准入要求。</w:t>
            </w:r>
          </w:p>
        </w:tc>
        <w:tc>
          <w:tcPr>
            <w:tcW w:w="1197" w:type="dxa"/>
            <w:vMerge/>
            <w:tcBorders>
              <w:top w:val="single" w:sz="4" w:space="0" w:color="auto"/>
              <w:left w:val="single" w:sz="4" w:space="0" w:color="auto"/>
              <w:bottom w:val="single" w:sz="4" w:space="0" w:color="auto"/>
              <w:right w:val="single" w:sz="4" w:space="0" w:color="auto"/>
            </w:tcBorders>
          </w:tcPr>
          <w:p/>
        </w:tc>
        <w:tc>
          <w:tcPr>
            <w:tcW w:w="1705" w:type="dxa"/>
            <w:vMerge/>
            <w:tcBorders>
              <w:top w:val="single" w:sz="4" w:space="0" w:color="auto"/>
              <w:left w:val="single" w:sz="4" w:space="0" w:color="auto"/>
              <w:bottom w:val="single" w:sz="4" w:space="0" w:color="auto"/>
              <w:right w:val="single" w:sz="4" w:space="0" w:color="auto"/>
            </w:tcBorders>
          </w:tcPr>
          <w:p/>
        </w:tc>
      </w:tr>
      <w:tr>
        <w:trPr>
          <w:trHeight w:val="925"/>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szCs w:val="21"/>
              </w:rPr>
            </w:pPr>
            <w:r>
              <w:rPr>
                <w:szCs w:val="21"/>
              </w:rPr>
              <w:t>16..对自保税仓库出库进口的维修用零备件采取“集中检验+分批核销”模式，对相关货物实施在库集中检查，货物实际出库进口时分批核销，快速放行。</w:t>
            </w:r>
          </w:p>
        </w:tc>
        <w:tc>
          <w:tcPr>
            <w:tcW w:w="1197" w:type="dxa"/>
            <w:vMerge w:val="restart"/>
            <w:tcBorders>
              <w:top w:val="single" w:sz="4" w:space="0" w:color="auto"/>
              <w:left w:val="single" w:sz="4" w:space="0" w:color="auto"/>
              <w:bottom w:val="single" w:sz="4" w:space="0" w:color="auto"/>
              <w:right w:val="single" w:sz="4" w:space="0" w:color="auto"/>
            </w:tcBorders>
          </w:tcPr>
          <w:p>
            <w:pPr>
              <w:pStyle w:val="33"/>
              <w:spacing w:line="1200" w:lineRule="auto"/>
              <w:rPr>
                <w:szCs w:val="21"/>
              </w:rPr>
            </w:pPr>
            <w:r>
              <w:rPr>
                <w:szCs w:val="21"/>
              </w:rPr>
              <w:t>是□  否□</w:t>
            </w:r>
          </w:p>
        </w:tc>
        <w:tc>
          <w:tcPr>
            <w:tcW w:w="1705" w:type="dxa"/>
            <w:vMerge w:val="restart"/>
            <w:tcBorders>
              <w:top w:val="single" w:sz="4" w:space="0" w:color="auto"/>
              <w:left w:val="single" w:sz="4" w:space="0" w:color="auto"/>
              <w:bottom w:val="single" w:sz="4" w:space="0" w:color="auto"/>
              <w:right w:val="single" w:sz="4" w:space="0" w:color="auto"/>
            </w:tcBorders>
          </w:tcPr>
          <w:p>
            <w:pPr>
              <w:pStyle w:val="34"/>
              <w:spacing w:line="1200" w:lineRule="auto"/>
              <w:rPr>
                <w:szCs w:val="21"/>
              </w:rPr>
            </w:pPr>
            <w:r>
              <w:rPr>
                <w:szCs w:val="21"/>
              </w:rPr>
              <w:t>是/否符合条件</w:t>
            </w:r>
          </w:p>
        </w:tc>
      </w:tr>
      <w:tr>
        <w:trPr>
          <w:trHeight w:val="613"/>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szCs w:val="21"/>
              </w:rPr>
            </w:pPr>
            <w:r>
              <w:rPr>
                <w:rFonts w:hint="eastAsia"/>
                <w:szCs w:val="21"/>
              </w:rPr>
              <w:t>【</w:t>
            </w:r>
            <w:r>
              <w:rPr>
                <w:szCs w:val="21"/>
              </w:rPr>
              <w:t>16-退出标准</w:t>
            </w:r>
            <w:r>
              <w:rPr>
                <w:rFonts w:hint="eastAsia"/>
                <w:szCs w:val="21"/>
              </w:rPr>
              <w:t>】</w:t>
            </w:r>
            <w:r>
              <w:rPr>
                <w:szCs w:val="21"/>
              </w:rPr>
              <w:t>：进口企业存在法检商品未经检验出库核销等违法违规行为的。</w:t>
            </w:r>
          </w:p>
        </w:tc>
        <w:tc>
          <w:tcPr>
            <w:tcW w:w="1197" w:type="dxa"/>
            <w:vMerge/>
            <w:tcBorders>
              <w:top w:val="single" w:sz="4" w:space="0" w:color="auto"/>
              <w:left w:val="single" w:sz="4" w:space="0" w:color="auto"/>
              <w:bottom w:val="single" w:sz="4" w:space="0" w:color="auto"/>
              <w:right w:val="single" w:sz="4" w:space="0" w:color="auto"/>
            </w:tcBorders>
          </w:tcPr>
          <w:p/>
        </w:tc>
        <w:tc>
          <w:tcPr>
            <w:tcW w:w="1705" w:type="dxa"/>
            <w:vMerge/>
            <w:tcBorders>
              <w:top w:val="single" w:sz="4" w:space="0" w:color="auto"/>
              <w:left w:val="single" w:sz="4" w:space="0" w:color="auto"/>
              <w:bottom w:val="single" w:sz="4" w:space="0" w:color="auto"/>
              <w:right w:val="single" w:sz="4" w:space="0" w:color="auto"/>
            </w:tcBorders>
          </w:tcPr>
          <w:p/>
        </w:tc>
      </w:tr>
      <w:tr>
        <w:trPr>
          <w:trHeight w:val="703"/>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szCs w:val="21"/>
              </w:rPr>
            </w:pPr>
            <w:r>
              <w:rPr>
                <w:szCs w:val="21"/>
              </w:rPr>
              <w:t>17.支持洋山特殊综合保税区建设服务集成电路产业的物流分拨配送中心，促进保税货物在区内外试点企业间便利流转。</w:t>
            </w:r>
          </w:p>
        </w:tc>
        <w:tc>
          <w:tcPr>
            <w:tcW w:w="1197" w:type="dxa"/>
            <w:vMerge w:val="restart"/>
            <w:tcBorders>
              <w:top w:val="single" w:sz="4" w:space="0" w:color="auto"/>
              <w:left w:val="single" w:sz="4" w:space="0" w:color="auto"/>
              <w:bottom w:val="single" w:sz="4" w:space="0" w:color="auto"/>
              <w:right w:val="single" w:sz="4" w:space="0" w:color="auto"/>
            </w:tcBorders>
          </w:tcPr>
          <w:p>
            <w:pPr>
              <w:pStyle w:val="31"/>
              <w:spacing w:line="960" w:lineRule="auto"/>
              <w:rPr>
                <w:szCs w:val="21"/>
              </w:rPr>
            </w:pPr>
            <w:r>
              <w:rPr>
                <w:szCs w:val="21"/>
              </w:rPr>
              <w:t>是□  否□</w:t>
            </w:r>
          </w:p>
        </w:tc>
        <w:tc>
          <w:tcPr>
            <w:tcW w:w="1705" w:type="dxa"/>
            <w:vMerge w:val="restart"/>
            <w:tcBorders>
              <w:top w:val="single" w:sz="4" w:space="0" w:color="auto"/>
              <w:left w:val="single" w:sz="4" w:space="0" w:color="auto"/>
              <w:bottom w:val="single" w:sz="4" w:space="0" w:color="auto"/>
              <w:right w:val="single" w:sz="4" w:space="0" w:color="auto"/>
            </w:tcBorders>
          </w:tcPr>
          <w:p>
            <w:pPr>
              <w:pStyle w:val="32"/>
              <w:spacing w:line="960" w:lineRule="auto"/>
              <w:rPr>
                <w:szCs w:val="21"/>
              </w:rPr>
            </w:pPr>
            <w:r>
              <w:rPr>
                <w:szCs w:val="21"/>
              </w:rPr>
              <w:t>是/否符合条件</w:t>
            </w:r>
          </w:p>
        </w:tc>
      </w:tr>
      <w:tr>
        <w:trPr>
          <w:trHeight w:val="410"/>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szCs w:val="21"/>
              </w:rPr>
            </w:pPr>
            <w:r>
              <w:rPr>
                <w:rFonts w:hint="eastAsia"/>
                <w:szCs w:val="21"/>
              </w:rPr>
              <w:t>【</w:t>
            </w:r>
            <w:r>
              <w:rPr>
                <w:szCs w:val="21"/>
              </w:rPr>
              <w:t>17-准入标准</w:t>
            </w:r>
            <w:r>
              <w:rPr>
                <w:rFonts w:hint="eastAsia"/>
                <w:szCs w:val="21"/>
              </w:rPr>
              <w:t>】</w:t>
            </w:r>
            <w:r>
              <w:rPr>
                <w:szCs w:val="21"/>
              </w:rPr>
              <w:t>：需符合特殊区域企业准入退出要求。</w:t>
            </w:r>
          </w:p>
        </w:tc>
        <w:tc>
          <w:tcPr>
            <w:tcW w:w="1197" w:type="dxa"/>
            <w:vMerge/>
            <w:tcBorders>
              <w:top w:val="single" w:sz="4" w:space="0" w:color="auto"/>
              <w:left w:val="single" w:sz="4" w:space="0" w:color="auto"/>
              <w:bottom w:val="single" w:sz="4" w:space="0" w:color="auto"/>
              <w:right w:val="single" w:sz="4" w:space="0" w:color="auto"/>
            </w:tcBorders>
          </w:tcPr>
          <w:p/>
        </w:tc>
        <w:tc>
          <w:tcPr>
            <w:tcW w:w="1705" w:type="dxa"/>
            <w:vMerge/>
            <w:tcBorders>
              <w:top w:val="single" w:sz="4" w:space="0" w:color="auto"/>
              <w:left w:val="single" w:sz="4" w:space="0" w:color="auto"/>
              <w:bottom w:val="single" w:sz="4" w:space="0" w:color="auto"/>
              <w:right w:val="single" w:sz="4" w:space="0" w:color="auto"/>
            </w:tcBorders>
          </w:tcPr>
          <w:p/>
        </w:tc>
      </w:tr>
      <w:tr>
        <w:trPr>
          <w:trHeight w:val="285"/>
        </w:trPr>
        <w:tc>
          <w:tcPr>
            <w:tcW w:w="5617" w:type="dxa"/>
            <w:gridSpan w:val="3"/>
            <w:tcBorders>
              <w:top w:val="single" w:sz="4" w:space="0" w:color="auto"/>
              <w:left w:val="single" w:sz="4" w:space="0" w:color="auto"/>
              <w:bottom w:val="single" w:sz="4" w:space="0" w:color="auto"/>
              <w:right w:val="single" w:sz="4" w:space="0" w:color="auto"/>
            </w:tcBorders>
            <w:vAlign w:val="center"/>
          </w:tcPr>
          <w:p>
            <w:pPr>
              <w:rPr>
                <w:szCs w:val="21"/>
              </w:rPr>
            </w:pPr>
            <w:r>
              <w:rPr>
                <w:szCs w:val="21"/>
              </w:rPr>
              <w:t>18.加强信用培育，确定重点培育企业名单，优先培育，优先认证。</w:t>
            </w:r>
          </w:p>
        </w:tc>
        <w:tc>
          <w:tcPr>
            <w:tcW w:w="1197" w:type="dxa"/>
            <w:tcBorders>
              <w:top w:val="single" w:sz="4" w:space="0" w:color="auto"/>
              <w:left w:val="single" w:sz="4" w:space="0" w:color="auto"/>
              <w:bottom w:val="single" w:sz="4" w:space="0" w:color="auto"/>
              <w:right w:val="single" w:sz="4" w:space="0" w:color="auto"/>
            </w:tcBorders>
          </w:tcPr>
          <w:p>
            <w:pPr>
              <w:spacing w:line="480" w:lineRule="auto"/>
              <w:rPr>
                <w:szCs w:val="21"/>
              </w:rPr>
            </w:pPr>
            <w:r>
              <w:rPr>
                <w:szCs w:val="21"/>
              </w:rPr>
              <w:t>是□  否□</w:t>
            </w:r>
          </w:p>
        </w:tc>
        <w:tc>
          <w:tcPr>
            <w:tcW w:w="1705" w:type="dxa"/>
            <w:tcBorders>
              <w:top w:val="single" w:sz="4" w:space="0" w:color="auto"/>
              <w:left w:val="single" w:sz="4" w:space="0" w:color="auto"/>
              <w:bottom w:val="single" w:sz="4" w:space="0" w:color="auto"/>
              <w:right w:val="single" w:sz="4" w:space="0" w:color="auto"/>
            </w:tcBorders>
          </w:tcPr>
          <w:p>
            <w:pPr>
              <w:spacing w:line="480" w:lineRule="auto"/>
              <w:rPr>
                <w:szCs w:val="21"/>
              </w:rPr>
            </w:pPr>
            <w:r>
              <w:rPr>
                <w:szCs w:val="21"/>
              </w:rPr>
              <w:t>是/否符合条件</w:t>
            </w: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szCs w:val="21"/>
              </w:rPr>
            </w:pPr>
            <w:r>
              <w:rPr>
                <w:szCs w:val="21"/>
              </w:rPr>
              <w:t>19.设立产业链联络员，提供海关政策、法律法规咨询服务，收集企业意见诉求，指导企业规范经营。</w:t>
            </w:r>
          </w:p>
        </w:tc>
        <w:tc>
          <w:tcPr>
            <w:tcW w:w="1197" w:type="dxa"/>
            <w:tcBorders>
              <w:top w:val="single" w:sz="4" w:space="0" w:color="auto"/>
              <w:left w:val="single" w:sz="4" w:space="0" w:color="auto"/>
              <w:bottom w:val="single" w:sz="4" w:space="0" w:color="auto"/>
              <w:right w:val="single" w:sz="4" w:space="0" w:color="auto"/>
            </w:tcBorders>
          </w:tcPr>
          <w:p>
            <w:pPr>
              <w:spacing w:line="480" w:lineRule="auto"/>
              <w:rPr>
                <w:szCs w:val="21"/>
              </w:rPr>
            </w:pPr>
            <w:r>
              <w:rPr>
                <w:szCs w:val="21"/>
              </w:rPr>
              <w:t>是□  否□</w:t>
            </w:r>
          </w:p>
        </w:tc>
        <w:tc>
          <w:tcPr>
            <w:tcW w:w="1705" w:type="dxa"/>
            <w:tcBorders>
              <w:top w:val="single" w:sz="4" w:space="0" w:color="auto"/>
              <w:left w:val="single" w:sz="4" w:space="0" w:color="auto"/>
              <w:bottom w:val="single" w:sz="4" w:space="0" w:color="auto"/>
              <w:right w:val="single" w:sz="4" w:space="0" w:color="auto"/>
            </w:tcBorders>
          </w:tcPr>
          <w:p>
            <w:pPr>
              <w:spacing w:line="480" w:lineRule="auto"/>
              <w:rPr>
                <w:szCs w:val="21"/>
              </w:rPr>
            </w:pPr>
            <w:r>
              <w:rPr>
                <w:szCs w:val="21"/>
              </w:rPr>
              <w:t>是/否符合条件</w:t>
            </w:r>
          </w:p>
        </w:tc>
      </w:tr>
      <w:tr>
        <w:tc>
          <w:tcPr>
            <w:tcW w:w="5617" w:type="dxa"/>
            <w:gridSpan w:val="3"/>
            <w:tcBorders>
              <w:top w:val="single" w:sz="4" w:space="0" w:color="auto"/>
              <w:left w:val="single" w:sz="4" w:space="0" w:color="auto"/>
              <w:bottom w:val="single" w:sz="4" w:space="0" w:color="auto"/>
              <w:right w:val="single" w:sz="4" w:space="0" w:color="auto"/>
            </w:tcBorders>
            <w:vAlign w:val="center"/>
          </w:tcPr>
          <w:p>
            <w:pPr>
              <w:rPr>
                <w:szCs w:val="21"/>
              </w:rPr>
            </w:pPr>
            <w:r>
              <w:rPr>
                <w:szCs w:val="21"/>
              </w:rPr>
              <w:t>20.支持在稽核查作业中开展引入第三方中介提供服务，探索认可高级认证企业实行自查结果，探索应用现代科技手段开展远程稽核查作业。</w:t>
            </w:r>
          </w:p>
        </w:tc>
        <w:tc>
          <w:tcPr>
            <w:tcW w:w="1197" w:type="dxa"/>
            <w:tcBorders>
              <w:top w:val="single" w:sz="4" w:space="0" w:color="auto"/>
              <w:left w:val="single" w:sz="4" w:space="0" w:color="auto"/>
              <w:bottom w:val="single" w:sz="4" w:space="0" w:color="auto"/>
              <w:right w:val="single" w:sz="4" w:space="0" w:color="auto"/>
            </w:tcBorders>
          </w:tcPr>
          <w:p>
            <w:pPr>
              <w:spacing w:line="720" w:lineRule="auto"/>
              <w:rPr>
                <w:szCs w:val="21"/>
              </w:rPr>
            </w:pPr>
            <w:r>
              <w:rPr>
                <w:szCs w:val="21"/>
              </w:rPr>
              <w:t>是□  否□</w:t>
            </w:r>
          </w:p>
        </w:tc>
        <w:tc>
          <w:tcPr>
            <w:tcW w:w="1705" w:type="dxa"/>
            <w:tcBorders>
              <w:top w:val="single" w:sz="4" w:space="0" w:color="auto"/>
              <w:left w:val="single" w:sz="4" w:space="0" w:color="auto"/>
              <w:bottom w:val="single" w:sz="4" w:space="0" w:color="auto"/>
              <w:right w:val="single" w:sz="4" w:space="0" w:color="auto"/>
            </w:tcBorders>
          </w:tcPr>
          <w:p>
            <w:pPr>
              <w:spacing w:line="720" w:lineRule="auto"/>
              <w:rPr>
                <w:szCs w:val="21"/>
              </w:rPr>
            </w:pPr>
            <w:r>
              <w:rPr>
                <w:szCs w:val="21"/>
              </w:rPr>
              <w:t>是/否符合条件</w:t>
            </w:r>
          </w:p>
        </w:tc>
      </w:tr>
      <w:tr>
        <w:tc>
          <w:tcPr>
            <w:tcW w:w="5617" w:type="dxa"/>
            <w:gridSpan w:val="3"/>
            <w:tcBorders>
              <w:top w:val="single" w:sz="4" w:space="0" w:color="auto"/>
              <w:left w:val="single" w:sz="4" w:space="0" w:color="auto"/>
              <w:bottom w:val="single" w:sz="8" w:space="0" w:color="auto"/>
              <w:right w:val="single" w:sz="4" w:space="0" w:color="auto"/>
            </w:tcBorders>
            <w:vAlign w:val="center"/>
          </w:tcPr>
          <w:p>
            <w:pPr>
              <w:rPr>
                <w:szCs w:val="21"/>
              </w:rPr>
            </w:pPr>
            <w:r>
              <w:rPr>
                <w:szCs w:val="21"/>
              </w:rPr>
              <w:t>21.</w:t>
            </w:r>
            <w:bookmarkStart w:id="0" w:name="_GoBack"/>
            <w:bookmarkEnd w:id="0"/>
            <w:r>
              <w:rPr>
                <w:szCs w:val="21"/>
              </w:rPr>
              <w:t>包容审慎监管。企业自违规发生之日起六个月内向海关主动披露并主动消除危害后果的可免于行政处罚，目前在涉税类主动披露事项范围内开展试点。</w:t>
            </w:r>
          </w:p>
        </w:tc>
        <w:tc>
          <w:tcPr>
            <w:tcW w:w="1197" w:type="dxa"/>
            <w:tcBorders>
              <w:top w:val="single" w:sz="4" w:space="0" w:color="auto"/>
              <w:left w:val="single" w:sz="4" w:space="0" w:color="auto"/>
              <w:bottom w:val="single" w:sz="8" w:space="0" w:color="auto"/>
              <w:right w:val="single" w:sz="4" w:space="0" w:color="auto"/>
            </w:tcBorders>
          </w:tcPr>
          <w:p>
            <w:pPr>
              <w:spacing w:line="720" w:lineRule="auto"/>
              <w:rPr>
                <w:szCs w:val="21"/>
              </w:rPr>
            </w:pPr>
            <w:r>
              <w:rPr>
                <w:szCs w:val="21"/>
              </w:rPr>
              <w:t>是□  否□</w:t>
            </w:r>
          </w:p>
        </w:tc>
        <w:tc>
          <w:tcPr>
            <w:tcW w:w="1705" w:type="dxa"/>
            <w:tcBorders>
              <w:top w:val="single" w:sz="4" w:space="0" w:color="auto"/>
              <w:left w:val="single" w:sz="4" w:space="0" w:color="auto"/>
              <w:bottom w:val="single" w:sz="8" w:space="0" w:color="auto"/>
              <w:right w:val="single" w:sz="4" w:space="0" w:color="auto"/>
            </w:tcBorders>
          </w:tcPr>
          <w:p>
            <w:pPr>
              <w:spacing w:line="720" w:lineRule="auto"/>
              <w:rPr>
                <w:szCs w:val="21"/>
              </w:rPr>
            </w:pPr>
            <w:r>
              <w:rPr>
                <w:szCs w:val="21"/>
              </w:rPr>
              <w:t>是/否符合条件</w:t>
            </w:r>
          </w:p>
        </w:tc>
      </w:tr>
      <w:tr>
        <w:tc>
          <w:tcPr>
            <w:tcW w:w="8519" w:type="dxa"/>
            <w:gridSpan w:val="5"/>
            <w:tcBorders>
              <w:top w:val="single" w:sz="8" w:space="0" w:color="auto"/>
              <w:left w:val="single" w:sz="8" w:space="0" w:color="auto"/>
              <w:bottom w:val="single" w:sz="4" w:space="0" w:color="auto"/>
              <w:right w:val="single" w:sz="8" w:space="0" w:color="auto"/>
            </w:tcBorders>
            <w:vAlign w:val="center"/>
          </w:tcPr>
          <w:p>
            <w:pPr>
              <w:rPr>
                <w:szCs w:val="21"/>
              </w:rPr>
            </w:pPr>
            <w:r>
              <w:rPr>
                <w:b/>
                <w:bCs/>
                <w:szCs w:val="21"/>
              </w:rPr>
              <w:t>审批情况</w:t>
            </w:r>
          </w:p>
        </w:tc>
      </w:tr>
      <w:tr>
        <w:tc>
          <w:tcPr>
            <w:tcW w:w="8519" w:type="dxa"/>
            <w:gridSpan w:val="5"/>
            <w:tcBorders>
              <w:top w:val="single" w:sz="4" w:space="0" w:color="auto"/>
              <w:left w:val="single" w:sz="8" w:space="0" w:color="auto"/>
              <w:bottom w:val="single" w:sz="4" w:space="0" w:color="auto"/>
              <w:right w:val="single" w:sz="8" w:space="0" w:color="auto"/>
            </w:tcBorders>
            <w:vAlign w:val="center"/>
          </w:tcPr>
          <w:p>
            <w:pPr>
              <w:rPr>
                <w:szCs w:val="21"/>
              </w:rPr>
            </w:pPr>
            <w:r>
              <w:rPr>
                <w:szCs w:val="21"/>
              </w:rPr>
              <w:t>主管海关审批意见：</w:t>
            </w:r>
          </w:p>
          <w:p>
            <w:pPr>
              <w:rPr>
                <w:szCs w:val="21"/>
              </w:rPr>
            </w:pPr>
          </w:p>
          <w:p>
            <w:pPr>
              <w:rPr>
                <w:szCs w:val="21"/>
              </w:rPr>
            </w:pPr>
          </w:p>
          <w:p>
            <w:pPr>
              <w:overflowPunct w:val="0"/>
              <w:adjustRightInd w:val="0"/>
              <w:snapToGrid w:val="0"/>
              <w:rPr>
                <w:szCs w:val="21"/>
              </w:rPr>
            </w:pPr>
            <w:r>
              <w:rPr>
                <w:szCs w:val="21"/>
              </w:rPr>
              <w:t>（经评估，该企业符合所申请优惠措施资格，拟同意其申请加入集成电路产业发展监管创新试点企业。）</w:t>
            </w:r>
          </w:p>
          <w:p>
            <w:pPr>
              <w:overflowPunct w:val="0"/>
              <w:adjustRightInd w:val="0"/>
              <w:snapToGrid w:val="0"/>
              <w:jc w:val="right"/>
              <w:rPr>
                <w:szCs w:val="21"/>
              </w:rPr>
            </w:pPr>
            <w:r>
              <w:rPr>
                <w:rFonts w:hint="eastAsia"/>
                <w:szCs w:val="21"/>
              </w:rPr>
              <w:t>（单位盖章及分管关领导签字）</w:t>
            </w:r>
          </w:p>
          <w:p>
            <w:pPr>
              <w:wordWrap w:val="0"/>
              <w:overflowPunct w:val="0"/>
              <w:adjustRightInd w:val="0"/>
              <w:snapToGrid w:val="0"/>
              <w:jc w:val="right"/>
              <w:rPr>
                <w:szCs w:val="21"/>
              </w:rPr>
            </w:pPr>
            <w:r>
              <w:rPr>
                <w:szCs w:val="21"/>
              </w:rPr>
              <w:t xml:space="preserve">      年   月   日 </w:t>
            </w:r>
          </w:p>
        </w:tc>
      </w:tr>
      <w:tr>
        <w:tc>
          <w:tcPr>
            <w:tcW w:w="8519" w:type="dxa"/>
            <w:gridSpan w:val="5"/>
            <w:tcBorders>
              <w:top w:val="single" w:sz="4" w:space="0" w:color="auto"/>
              <w:left w:val="single" w:sz="8" w:space="0" w:color="auto"/>
              <w:bottom w:val="single" w:sz="8" w:space="0" w:color="auto"/>
              <w:right w:val="single" w:sz="8" w:space="0" w:color="auto"/>
            </w:tcBorders>
            <w:vAlign w:val="center"/>
          </w:tcPr>
          <w:p>
            <w:pPr>
              <w:rPr>
                <w:szCs w:val="21"/>
              </w:rPr>
            </w:pPr>
            <w:r>
              <w:rPr>
                <w:szCs w:val="21"/>
              </w:rPr>
              <w:t>备注：</w:t>
            </w:r>
          </w:p>
          <w:p>
            <w:pPr>
              <w:rPr>
                <w:szCs w:val="21"/>
                <w:u w:val="single"/>
              </w:rPr>
            </w:pPr>
            <w:r>
              <w:rPr>
                <w:szCs w:val="21"/>
              </w:rPr>
              <w:t>随附资料 1.企业信用资质证明□   2.一年内进出口记录□   3.其他随附资料</w:t>
            </w:r>
            <w:r>
              <w:rPr>
                <w:szCs w:val="21"/>
                <w:u w:val="single"/>
              </w:rPr>
              <w:t xml:space="preserve">            </w:t>
            </w:r>
          </w:p>
        </w:tc>
      </w:tr>
    </w:tbl>
    <w:p>
      <w:pPr>
        <w:rPr>
          <w:bCs/>
          <w:szCs w:val="21"/>
        </w:rPr>
      </w:pPr>
      <w:r>
        <w:rPr>
          <w:szCs w:val="21"/>
        </w:rPr>
        <w:t>注：1.</w:t>
      </w:r>
      <w:r>
        <w:rPr>
          <w:bCs/>
          <w:szCs w:val="21"/>
        </w:rPr>
        <w:t>企业准入标准既包括共性标准，也包括</w:t>
      </w:r>
      <w:r>
        <w:rPr>
          <w:rFonts w:hint="eastAsia"/>
          <w:bCs/>
          <w:szCs w:val="21"/>
        </w:rPr>
        <w:t>对应优惠</w:t>
      </w:r>
      <w:r>
        <w:rPr>
          <w:bCs/>
          <w:szCs w:val="21"/>
        </w:rPr>
        <w:t>措施的分类标准。</w:t>
      </w:r>
    </w:p>
    <w:p>
      <w:pPr>
        <w:ind w:firstLineChars="200" w:firstLine="420"/>
        <w:rPr>
          <w:bCs/>
          <w:szCs w:val="21"/>
        </w:rPr>
      </w:pPr>
      <w:r>
        <w:rPr>
          <w:bCs/>
          <w:szCs w:val="21"/>
        </w:rPr>
        <w:t>2.若优惠措施存在特殊准入标准，需提供证明资料并填写至其他随附资料中。</w:t>
      </w:r>
    </w:p>
    <w:p>
      <w:pPr>
        <w:ind w:firstLine="417"/>
        <w:rPr>
          <w:bCs/>
          <w:szCs w:val="21"/>
        </w:rPr>
      </w:pPr>
      <w:r>
        <w:rPr>
          <w:bCs/>
          <w:szCs w:val="21"/>
        </w:rPr>
        <w:t>3.该申请表需经主管海关二级审批。</w:t>
      </w:r>
    </w:p>
    <w:p>
      <w:pPr>
        <w:ind w:firstLine="417"/>
        <w:rPr>
          <w:szCs w:val="21"/>
        </w:rPr>
      </w:pPr>
      <w:r>
        <w:rPr>
          <w:bCs/>
          <w:szCs w:val="21"/>
        </w:rPr>
        <w:t>4.请在完成审批后，将审批表及随附资料电子版</w:t>
      </w:r>
      <w:r>
        <w:rPr>
          <w:rFonts w:hint="eastAsia"/>
          <w:bCs/>
          <w:szCs w:val="21"/>
        </w:rPr>
        <w:t>报备综合处、稽查处</w:t>
      </w:r>
      <w:r>
        <w:rPr>
          <w:bCs/>
          <w:szCs w:val="21"/>
        </w:rPr>
        <w:t>。</w:t>
      </w:r>
    </w:p>
    <w:sectPr>
      <w:type w:val="continuous"/>
      <w:pgSz w:w="11907" w:h="16840"/>
      <w:pgMar w:top="851" w:right="1797" w:bottom="851" w:left="1797"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Arial Unicode MS"/>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Wingdings 2">
    <w:altName w:val="DejaVu Sans"/>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altName w:val="Times New Roman"/>
    <w:panose1 w:val="020F0502020204030204"/>
    <w:charset w:val="00"/>
    <w:family w:val="swiss"/>
    <w:pitch w:val="variable"/>
    <w:sig w:usb0="E0002AFF" w:usb1="C000247B" w:usb2="00000009" w:usb3="00000000" w:csb0="000001FF" w:csb1="00000000"/>
  </w:font>
  <w:font w:name="Arial">
    <w:altName w:val="DejaVu Sans"/>
    <w:panose1 w:val="020B0604020202020204"/>
    <w:charset w:val="00"/>
    <w:family w:val="swiss"/>
    <w:pitch w:val="variable"/>
    <w:sig w:usb0="E0002EFF" w:usb1="C0007843" w:usb2="00000009" w:usb3="00000000" w:csb0="000001FF" w:csb1="00000000"/>
  </w:font>
  <w:font w:name="Luxi Sans">
    <w:altName w:val="DejaVu Sans"/>
    <w:panose1 w:val="00000000000000000000"/>
    <w:charset w:val="00"/>
    <w:family w:val="auto"/>
    <w:pitch w:val="variable"/>
  </w:font>
  <w:font w:name="黑体">
    <w:altName w:val="宋体"/>
    <w:panose1 w:val="02010600030101010101"/>
    <w:charset w:val="00"/>
    <w:family w:val="auto"/>
    <w:pitch w:val="variable"/>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oNotDisplayPageBoundaries/>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Luxi Sans" w:eastAsia="黑体" w:hAnsi="Luxi Sans"/>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index 9"/>
    <w:basedOn w:val="0"/>
    <w:autoRedefine/>
    <w:next w:val="0"/>
    <w:pPr>
      <w:ind w:left="3360"/>
    </w:pPr>
  </w:style>
  <w:style w:type="paragraph" w:customStyle="1" w:styleId="16">
    <w:name w:val="样式 10 磅"/>
    <w:next w:val="17"/>
    <w:pPr>
      <w:widowControl w:val="0"/>
      <w:jc w:val="both"/>
    </w:pPr>
    <w:rPr>
      <w:rFonts w:ascii="Calibri" w:eastAsia="宋体" w:cs="Arial" w:hAnsi="Calibri"/>
      <w:kern w:val="2"/>
      <w:sz w:val="21"/>
      <w:szCs w:val="22"/>
      <w:lang w:val="en-US" w:eastAsia="zh-CN" w:bidi="ar-SA"/>
    </w:rPr>
  </w:style>
  <w:style w:type="paragraph" w:customStyle="1" w:styleId="17">
    <w:name w:val="样式 10 磅"/>
    <w:pPr>
      <w:widowControl w:val="0"/>
      <w:jc w:val="both"/>
    </w:pPr>
    <w:rPr>
      <w:rFonts w:ascii="Calibri" w:eastAsia="宋体" w:cs="Arial" w:hAnsi="Calibri"/>
      <w:kern w:val="2"/>
      <w:sz w:val="21"/>
      <w:szCs w:val="22"/>
      <w:lang w:val="en-US" w:eastAsia="zh-CN" w:bidi="ar-SA"/>
    </w:rPr>
  </w:style>
  <w:style w:type="paragraph" w:customStyle="1" w:styleId="18">
    <w:name w:val="样式 1 10 磅"/>
    <w:pPr>
      <w:widowControl w:val="0"/>
      <w:jc w:val="both"/>
    </w:pPr>
    <w:rPr>
      <w:rFonts w:ascii="Calibri" w:eastAsia="宋体" w:cs="Arial" w:hAnsi="Calibri"/>
      <w:kern w:val="2"/>
      <w:sz w:val="21"/>
      <w:szCs w:val="22"/>
      <w:lang w:val="en-US" w:eastAsia="zh-CN" w:bidi="ar-SA"/>
    </w:rPr>
  </w:style>
  <w:style w:type="paragraph" w:customStyle="1" w:styleId="19">
    <w:name w:val="样式 2 10 磅"/>
    <w:pPr>
      <w:widowControl w:val="0"/>
      <w:jc w:val="both"/>
    </w:pPr>
    <w:rPr>
      <w:rFonts w:ascii="Calibri" w:eastAsia="宋体" w:cs="Arial" w:hAnsi="Calibri"/>
      <w:kern w:val="2"/>
      <w:sz w:val="21"/>
      <w:szCs w:val="22"/>
      <w:lang w:val="en-US" w:eastAsia="zh-CN" w:bidi="ar-SA"/>
    </w:rPr>
  </w:style>
  <w:style w:type="paragraph" w:customStyle="1" w:styleId="20">
    <w:name w:val="样式 3 10 磅"/>
    <w:pPr>
      <w:widowControl w:val="0"/>
      <w:jc w:val="both"/>
    </w:pPr>
    <w:rPr>
      <w:rFonts w:ascii="Calibri" w:eastAsia="宋体" w:cs="Arial" w:hAnsi="Calibri"/>
      <w:kern w:val="2"/>
      <w:sz w:val="21"/>
      <w:szCs w:val="22"/>
      <w:lang w:val="en-US" w:eastAsia="zh-CN" w:bidi="ar-SA"/>
    </w:rPr>
  </w:style>
  <w:style w:type="paragraph" w:customStyle="1" w:styleId="21">
    <w:name w:val="样式 4 10 磅"/>
    <w:pPr>
      <w:widowControl w:val="0"/>
      <w:jc w:val="both"/>
    </w:pPr>
    <w:rPr>
      <w:rFonts w:ascii="Calibri" w:eastAsia="宋体" w:cs="Arial" w:hAnsi="Calibri"/>
      <w:kern w:val="2"/>
      <w:sz w:val="21"/>
      <w:szCs w:val="22"/>
      <w:lang w:val="en-US" w:eastAsia="zh-CN" w:bidi="ar-SA"/>
    </w:rPr>
  </w:style>
  <w:style w:type="paragraph" w:customStyle="1" w:styleId="22">
    <w:name w:val="样式 5 10 磅"/>
    <w:pPr>
      <w:widowControl w:val="0"/>
      <w:jc w:val="both"/>
    </w:pPr>
    <w:rPr>
      <w:rFonts w:ascii="Calibri" w:eastAsia="宋体" w:cs="Arial" w:hAnsi="Calibri"/>
      <w:kern w:val="2"/>
      <w:sz w:val="21"/>
      <w:szCs w:val="22"/>
      <w:lang w:val="en-US" w:eastAsia="zh-CN" w:bidi="ar-SA"/>
    </w:rPr>
  </w:style>
  <w:style w:type="paragraph" w:customStyle="1" w:styleId="23">
    <w:name w:val="样式 6 10 磅"/>
    <w:pPr>
      <w:widowControl w:val="0"/>
      <w:jc w:val="both"/>
    </w:pPr>
    <w:rPr>
      <w:rFonts w:ascii="Calibri" w:eastAsia="宋体" w:cs="Arial" w:hAnsi="Calibri"/>
      <w:kern w:val="2"/>
      <w:sz w:val="21"/>
      <w:szCs w:val="22"/>
      <w:lang w:val="en-US" w:eastAsia="zh-CN" w:bidi="ar-SA"/>
    </w:rPr>
  </w:style>
  <w:style w:type="paragraph" w:customStyle="1" w:styleId="24">
    <w:name w:val="样式 7 10 磅"/>
    <w:pPr>
      <w:widowControl w:val="0"/>
      <w:jc w:val="both"/>
    </w:pPr>
    <w:rPr>
      <w:rFonts w:ascii="Calibri" w:eastAsia="宋体" w:cs="Arial" w:hAnsi="Calibri"/>
      <w:kern w:val="2"/>
      <w:sz w:val="21"/>
      <w:szCs w:val="22"/>
      <w:lang w:val="en-US" w:eastAsia="zh-CN" w:bidi="ar-SA"/>
    </w:rPr>
  </w:style>
  <w:style w:type="paragraph" w:customStyle="1" w:styleId="25">
    <w:name w:val="样式 8 10 磅"/>
    <w:pPr>
      <w:widowControl w:val="0"/>
      <w:jc w:val="both"/>
    </w:pPr>
    <w:rPr>
      <w:rFonts w:ascii="Calibri" w:eastAsia="宋体" w:cs="Arial" w:hAnsi="Calibri"/>
      <w:kern w:val="2"/>
      <w:sz w:val="21"/>
      <w:szCs w:val="22"/>
      <w:lang w:val="en-US" w:eastAsia="zh-CN" w:bidi="ar-SA"/>
    </w:rPr>
  </w:style>
  <w:style w:type="paragraph" w:customStyle="1" w:styleId="26">
    <w:name w:val="样式 9 10 磅"/>
    <w:pPr>
      <w:widowControl w:val="0"/>
      <w:jc w:val="both"/>
    </w:pPr>
    <w:rPr>
      <w:rFonts w:ascii="Calibri" w:eastAsia="宋体" w:cs="Arial" w:hAnsi="Calibri"/>
      <w:kern w:val="2"/>
      <w:sz w:val="21"/>
      <w:szCs w:val="22"/>
      <w:lang w:val="en-US" w:eastAsia="zh-CN" w:bidi="ar-SA"/>
    </w:rPr>
  </w:style>
  <w:style w:type="paragraph" w:customStyle="1" w:styleId="27">
    <w:name w:val="样式 10 10 磅"/>
    <w:pPr>
      <w:widowControl w:val="0"/>
      <w:jc w:val="both"/>
    </w:pPr>
    <w:rPr>
      <w:rFonts w:ascii="Calibri" w:eastAsia="宋体" w:cs="Arial" w:hAnsi="Calibri"/>
      <w:kern w:val="2"/>
      <w:sz w:val="21"/>
      <w:szCs w:val="22"/>
      <w:lang w:val="en-US" w:eastAsia="zh-CN" w:bidi="ar-SA"/>
    </w:rPr>
  </w:style>
  <w:style w:type="paragraph" w:customStyle="1" w:styleId="28">
    <w:name w:val="样式 11 10 磅"/>
    <w:pPr>
      <w:widowControl w:val="0"/>
      <w:jc w:val="both"/>
    </w:pPr>
    <w:rPr>
      <w:rFonts w:ascii="Calibri" w:eastAsia="宋体" w:cs="Arial" w:hAnsi="Calibri"/>
      <w:kern w:val="2"/>
      <w:sz w:val="21"/>
      <w:szCs w:val="22"/>
      <w:lang w:val="en-US" w:eastAsia="zh-CN" w:bidi="ar-SA"/>
    </w:rPr>
  </w:style>
  <w:style w:type="paragraph" w:customStyle="1" w:styleId="29">
    <w:name w:val="样式 12 10 磅"/>
    <w:pPr>
      <w:widowControl w:val="0"/>
      <w:jc w:val="both"/>
    </w:pPr>
    <w:rPr>
      <w:rFonts w:ascii="Calibri" w:eastAsia="宋体" w:cs="Arial" w:hAnsi="Calibri"/>
      <w:kern w:val="2"/>
      <w:sz w:val="21"/>
      <w:szCs w:val="22"/>
      <w:lang w:val="en-US" w:eastAsia="zh-CN" w:bidi="ar-SA"/>
    </w:rPr>
  </w:style>
  <w:style w:type="paragraph" w:customStyle="1" w:styleId="30">
    <w:name w:val="样式 13 10 磅"/>
    <w:pPr>
      <w:widowControl w:val="0"/>
      <w:jc w:val="both"/>
    </w:pPr>
    <w:rPr>
      <w:rFonts w:ascii="Calibri" w:eastAsia="宋体" w:cs="Arial" w:hAnsi="Calibri"/>
      <w:kern w:val="2"/>
      <w:sz w:val="21"/>
      <w:szCs w:val="22"/>
      <w:lang w:val="en-US" w:eastAsia="zh-CN" w:bidi="ar-SA"/>
    </w:rPr>
  </w:style>
  <w:style w:type="paragraph" w:customStyle="1" w:styleId="31">
    <w:name w:val="样式 14 10 磅"/>
    <w:pPr>
      <w:widowControl w:val="0"/>
      <w:jc w:val="both"/>
    </w:pPr>
    <w:rPr>
      <w:rFonts w:ascii="Calibri" w:eastAsia="宋体" w:cs="Arial" w:hAnsi="Calibri"/>
      <w:kern w:val="2"/>
      <w:sz w:val="21"/>
      <w:szCs w:val="22"/>
      <w:lang w:val="en-US" w:eastAsia="zh-CN" w:bidi="ar-SA"/>
    </w:rPr>
  </w:style>
  <w:style w:type="paragraph" w:customStyle="1" w:styleId="32">
    <w:name w:val="样式 15 10 磅"/>
    <w:pPr>
      <w:widowControl w:val="0"/>
      <w:jc w:val="both"/>
    </w:pPr>
    <w:rPr>
      <w:rFonts w:ascii="Calibri" w:eastAsia="宋体" w:cs="Arial" w:hAnsi="Calibri"/>
      <w:kern w:val="2"/>
      <w:sz w:val="21"/>
      <w:szCs w:val="22"/>
      <w:lang w:val="en-US" w:eastAsia="zh-CN" w:bidi="ar-SA"/>
    </w:rPr>
  </w:style>
  <w:style w:type="paragraph" w:customStyle="1" w:styleId="33">
    <w:name w:val="样式 16 10 磅"/>
    <w:pPr>
      <w:widowControl w:val="0"/>
      <w:jc w:val="both"/>
    </w:pPr>
    <w:rPr>
      <w:rFonts w:ascii="Calibri" w:eastAsia="宋体" w:cs="Arial" w:hAnsi="Calibri"/>
      <w:kern w:val="2"/>
      <w:sz w:val="21"/>
      <w:szCs w:val="22"/>
      <w:lang w:val="en-US" w:eastAsia="zh-CN" w:bidi="ar-SA"/>
    </w:rPr>
  </w:style>
  <w:style w:type="paragraph" w:customStyle="1" w:styleId="34">
    <w:name w:val="样式 17 10 磅"/>
    <w:pPr>
      <w:widowControl w:val="0"/>
      <w:jc w:val="both"/>
    </w:pPr>
    <w:rPr>
      <w:rFonts w:ascii="Calibri" w:eastAsia="宋体" w:cs="Arial" w:hAnsi="Calibri"/>
      <w:kern w:val="2"/>
      <w:sz w:val="21"/>
      <w:szCs w:val="22"/>
      <w:lang w:val="en-US" w:eastAsia="zh-CN" w:bidi="ar-SA"/>
    </w:rPr>
  </w:style>
  <w:style w:type="paragraph" w:styleId="35">
    <w:name w:val="header"/>
    <w:basedOn w:val="0"/>
    <w:pPr>
      <w:pBdr>
        <w:bottom w:val="single" w:sz="6" w:space="1" w:color="auto"/>
      </w:pBdr>
      <w:tabs>
        <w:tab w:val="center" w:pos="4153"/>
        <w:tab w:val="right" w:pos="8306"/>
      </w:tabs>
      <w:snapToGrid w:val="0"/>
      <w:jc w:val="center"/>
    </w:pPr>
    <w:rPr>
      <w:sz w:val="18"/>
      <w:szCs w:val="18"/>
    </w:rPr>
  </w:style>
  <w:style w:type="paragraph" w:styleId="36">
    <w:name w:val="footer"/>
    <w:basedOn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108</TotalTime>
  <Application>Yozo_Office27021597764231179</Application>
  <Pages>2</Pages>
  <Words>1896</Words>
  <Characters>1953</Characters>
  <Lines>141</Lines>
  <Paragraphs>98</Paragraphs>
  <CharactersWithSpaces>2079</CharactersWithSpaces>
  <Company>DoubleOX</Company>
</Properties>
</file>

<file path=docProps/core.xml><?xml version="1.0" encoding="utf-8"?>
<cp:coreProperties xmlns:cp="http://schemas.openxmlformats.org/package/2006/metadata/core-properties" xmlns:dc="http://purl.org/dc/elements/1.1/" xmlns:dcterms="http://purl.org/dc/terms/" xmlns:xsi="http://www.w3.org/2001/XMLSchema-instance">
  <dc:creator>Rapier Nameless</dc:creator>
  <cp:lastModifiedBy>user</cp:lastModifiedBy>
  <cp:revision>4</cp:revision>
  <dcterms:created xsi:type="dcterms:W3CDTF">2022-12-26T06:43:00Z</dcterms:created>
  <dcterms:modified xsi:type="dcterms:W3CDTF">2023-03-10T01:09:43Z</dcterms:modified>
</cp:coreProperties>
</file>