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bCs/>
          <w:color w:val="FF0000"/>
          <w:spacing w:val="32"/>
          <w:w w:val="95"/>
          <w:sz w:val="64"/>
          <w:szCs w:val="64"/>
        </w:rPr>
      </w:pPr>
      <w:bookmarkStart w:id="0" w:name="_GoBack"/>
      <w:bookmarkEnd w:id="0"/>
      <w:r>
        <w:rPr>
          <w:rFonts w:eastAsia="方正小标宋_GBK" w:cs="宋体" w:hint="eastAsia"/>
          <w:bCs/>
          <w:color w:val="FF0000"/>
          <w:spacing w:val="32"/>
          <w:w w:val="95"/>
          <w:sz w:val="64"/>
          <w:szCs w:val="64"/>
        </w:rPr>
        <w:t>中华人民共和国南京海关</w:t>
      </w:r>
    </w:p>
    <w:p>
      <w:pPr>
        <w:spacing w:before="100" w:beforeAutospacing="1"/>
        <w:jc w:val="center"/>
        <w:rPr>
          <w:rFonts w:eastAsia="方正小标宋_GBK" w:cs="宋体"/>
          <w:bCs/>
          <w:color w:val="FF0000"/>
          <w:spacing w:val="40"/>
          <w:sz w:val="64"/>
          <w:szCs w:val="64"/>
        </w:rPr>
      </w:pPr>
      <w:r>
        <w:rPr>
          <w:rFonts w:eastAsia="方正小标宋_GBK" w:cs="宋体" w:hint="eastAsia"/>
          <w:bCs/>
          <w:color w:val="FF0000"/>
          <w:spacing w:val="40"/>
          <w:sz w:val="64"/>
          <w:szCs w:val="64"/>
        </w:rPr>
        <w:t>公   告</w:t>
      </w:r>
    </w:p>
    <w:p>
      <w:pPr>
        <w:adjustRightInd w:val="0"/>
        <w:snapToGrid w:val="0"/>
        <w:spacing w:before="100" w:beforeAutospacing="1" w:line="240" w:lineRule="atLeast"/>
        <w:jc w:val="center"/>
        <w:rPr>
          <w:rFonts w:eastAsia="方正小标宋_GBK"/>
        </w:rPr>
      </w:pPr>
    </w:p>
    <w:p>
      <w:pPr>
        <w:adjustRightInd w:val="0"/>
        <w:snapToGrid w:val="0"/>
        <w:spacing w:line="560" w:lineRule="exact"/>
        <w:jc w:val="center"/>
        <w:outlineLvl w:val="0"/>
        <w:rPr>
          <w:rFonts w:cs="方正仿宋_GBK"/>
        </w:rPr>
      </w:pPr>
      <w:r>
        <w:rPr>
          <w:rFonts w:cs="方正仿宋_GBK"/>
        </w:rPr>
        <w:t>20</w:t>
      </w:r>
      <w:r>
        <w:rPr>
          <w:rFonts w:cs="方正仿宋_GBK" w:hint="eastAsia"/>
        </w:rPr>
        <w:t>25年　第  号</w:t>
      </w:r>
    </w:p>
    <w:p>
      <w:pPr>
        <w:adjustRightInd w:val="0"/>
        <w:snapToGrid w:val="0"/>
        <w:spacing w:line="540" w:lineRule="exact"/>
        <w:jc w:val="center"/>
      </w:pPr>
    </w:p>
    <w:p>
      <w:pPr>
        <w:spacing w:line="540" w:lineRule="exact"/>
        <w:ind w:firstLineChars="200" w:firstLine="632"/>
      </w:pPr>
      <w:r>
        <w:rPr>
          <w:rFonts w:hint="eastAsia"/>
        </w:rPr>
        <w:t>为</w:t>
      </w:r>
      <w:r>
        <w:t>维护公平、公正、公开的加工贸易边角废料内销交易秩序，推进内销便利化，</w:t>
      </w:r>
      <w:r>
        <w:rPr>
          <w:rFonts w:hint="eastAsia"/>
        </w:rPr>
        <w:t>根据</w:t>
      </w:r>
      <w:r>
        <w:t>海关总署</w:t>
      </w:r>
      <w:r>
        <w:rPr>
          <w:rFonts w:hint="eastAsia"/>
        </w:rPr>
        <w:t>2018年</w:t>
      </w:r>
      <w:r>
        <w:t>第</w:t>
      </w:r>
      <w:r>
        <w:rPr>
          <w:rFonts w:hint="eastAsia"/>
        </w:rPr>
        <w:t>218号</w:t>
      </w:r>
      <w:r>
        <w:t>公告</w:t>
      </w:r>
      <w:r>
        <w:rPr>
          <w:rFonts w:hint="eastAsia"/>
        </w:rPr>
        <w:t>规定</w:t>
      </w:r>
      <w:r>
        <w:t>，</w:t>
      </w:r>
      <w:r>
        <w:rPr>
          <w:rFonts w:hint="eastAsia"/>
        </w:rPr>
        <w:t>并</w:t>
      </w:r>
      <w:r>
        <w:t>结合南京海关实际</w:t>
      </w:r>
      <w:r>
        <w:rPr>
          <w:rFonts w:hint="eastAsia"/>
        </w:rPr>
        <w:t>情况</w:t>
      </w:r>
      <w:r>
        <w:t>，</w:t>
      </w:r>
      <w:r>
        <w:rPr>
          <w:rFonts w:hint="eastAsia"/>
        </w:rPr>
        <w:t>现</w:t>
      </w:r>
      <w:r>
        <w:t>就相关事项公告如下：</w:t>
      </w:r>
    </w:p>
    <w:p>
      <w:pPr>
        <w:spacing w:line="540" w:lineRule="exact"/>
        <w:ind w:firstLineChars="200" w:firstLine="632"/>
      </w:pPr>
      <w:r>
        <w:t>一、</w:t>
      </w:r>
      <w:r>
        <w:rPr>
          <w:rFonts w:hint="eastAsia"/>
        </w:rPr>
        <w:t>本</w:t>
      </w:r>
      <w:r>
        <w:t>公告所称边角</w:t>
      </w:r>
      <w:r>
        <w:rPr>
          <w:rFonts w:hint="eastAsia"/>
        </w:rPr>
        <w:t>废</w:t>
      </w:r>
      <w:r>
        <w:t>料，包括加工贸易边角料、副产品</w:t>
      </w:r>
      <w:r>
        <w:rPr>
          <w:rFonts w:hint="eastAsia"/>
        </w:rPr>
        <w:t>和</w:t>
      </w:r>
      <w:r>
        <w:t>按照规定需要以残留价值征税的</w:t>
      </w:r>
      <w:r>
        <w:rPr>
          <w:rFonts w:hint="eastAsia"/>
        </w:rPr>
        <w:t>受</w:t>
      </w:r>
      <w:r>
        <w:t>灾保税</w:t>
      </w:r>
      <w:r>
        <w:rPr>
          <w:rFonts w:hint="eastAsia"/>
        </w:rPr>
        <w:t>货物</w:t>
      </w:r>
      <w:r>
        <w:t>，以及海关特殊监管区域内</w:t>
      </w:r>
      <w:r>
        <w:rPr>
          <w:rFonts w:hint="eastAsia"/>
        </w:rPr>
        <w:t>企业</w:t>
      </w:r>
      <w:r>
        <w:t>保税加工过程中产生的边角料、残次品、废品</w:t>
      </w:r>
      <w:r>
        <w:rPr>
          <w:rFonts w:hint="eastAsia"/>
        </w:rPr>
        <w:t>和</w:t>
      </w:r>
      <w:r>
        <w:t>副产品等保税货物</w:t>
      </w:r>
      <w:r>
        <w:rPr>
          <w:rFonts w:hint="eastAsia"/>
        </w:rPr>
        <w:t>。</w:t>
      </w:r>
    </w:p>
    <w:p>
      <w:pPr>
        <w:spacing w:line="540" w:lineRule="exact"/>
        <w:ind w:firstLineChars="200" w:firstLine="632"/>
      </w:pPr>
      <w:r>
        <w:rPr>
          <w:rFonts w:hint="eastAsia"/>
        </w:rPr>
        <w:t>二</w:t>
      </w:r>
      <w:r>
        <w:t>、</w:t>
      </w:r>
      <w:r>
        <w:rPr>
          <w:rFonts w:hint="eastAsia"/>
        </w:rPr>
        <w:t>加工</w:t>
      </w:r>
      <w:r>
        <w:t>贸易企业按照自愿原则，选择</w:t>
      </w:r>
      <w:r>
        <w:rPr>
          <w:rFonts w:hint="eastAsia"/>
        </w:rPr>
        <w:t>是</w:t>
      </w:r>
      <w:r>
        <w:t>否通过网上公开拍卖方式内销边角废料。</w:t>
      </w:r>
      <w:r>
        <w:rPr>
          <w:rFonts w:hint="eastAsia"/>
          <w:bCs/>
          <w:snapToGrid w:val="0"/>
          <w:spacing w:val="-4"/>
          <w:szCs w:val="32"/>
        </w:rPr>
        <w:t>企业选择通过网上公开拍卖边角废料，可选择通过苏州</w:t>
      </w:r>
      <w:r>
        <w:rPr>
          <w:bCs/>
          <w:snapToGrid w:val="0"/>
          <w:spacing w:val="-4"/>
          <w:szCs w:val="32"/>
        </w:rPr>
        <w:t>加工贸易废料</w:t>
      </w:r>
      <w:r>
        <w:rPr>
          <w:rFonts w:hint="eastAsia"/>
          <w:bCs/>
          <w:snapToGrid w:val="0"/>
          <w:spacing w:val="-4"/>
          <w:szCs w:val="32"/>
        </w:rPr>
        <w:t>交易平台进行公开竞价、竞标，或通过</w:t>
      </w:r>
      <w:r>
        <w:rPr>
          <w:rFonts w:ascii="方正仿宋_GBK" w:hint="eastAsia"/>
        </w:rPr>
        <w:t>“中国国际贸易单一窗口”</w:t>
      </w:r>
      <w:r>
        <w:t>（登录网址：</w:t>
      </w:r>
      <w:r>
        <w:rPr>
          <w:rFonts w:hint="eastAsia"/>
        </w:rPr>
        <w:t>www.</w:t>
      </w:r>
      <w:r>
        <w:t>singlewindow.cn</w:t>
      </w:r>
      <w:r>
        <w:rPr>
          <w:rFonts w:hint="eastAsia"/>
        </w:rPr>
        <w:t>）</w:t>
      </w:r>
      <w:r>
        <w:rPr>
          <w:rFonts w:ascii="方正仿宋_GBK" w:hint="eastAsia"/>
        </w:rPr>
        <w:t>登录</w:t>
      </w:r>
      <w:r>
        <w:rPr>
          <w:rFonts w:hint="eastAsia"/>
          <w:bCs/>
          <w:snapToGrid w:val="0"/>
          <w:spacing w:val="-4"/>
          <w:szCs w:val="32"/>
        </w:rPr>
        <w:t>“加工贸易边角废料内销网上公开拍卖系统”</w:t>
      </w:r>
      <w:r>
        <w:t>委托具有法定资质的拍卖机构依法公开拍卖。</w:t>
      </w:r>
    </w:p>
    <w:p>
      <w:pPr>
        <w:spacing w:line="540" w:lineRule="exact"/>
        <w:ind w:firstLineChars="200" w:firstLine="632"/>
      </w:pPr>
      <w:r>
        <w:rPr>
          <w:rFonts w:hint="eastAsia"/>
        </w:rPr>
        <w:t>三、</w:t>
      </w:r>
      <w:r>
        <w:t>对以网上公开</w:t>
      </w:r>
      <w:r>
        <w:rPr>
          <w:rFonts w:hint="eastAsia"/>
        </w:rPr>
        <w:t>拍卖</w:t>
      </w:r>
      <w:r>
        <w:t>方式内销的边角</w:t>
      </w:r>
      <w:r>
        <w:rPr>
          <w:rFonts w:hint="eastAsia"/>
        </w:rPr>
        <w:t>废料</w:t>
      </w:r>
      <w:r>
        <w:t>，海关以拍卖价格为基础审查确定</w:t>
      </w:r>
      <w:r>
        <w:rPr>
          <w:rFonts w:hint="eastAsia"/>
        </w:rPr>
        <w:t>完税</w:t>
      </w:r>
      <w:r>
        <w:t>价格。</w:t>
      </w:r>
    </w:p>
    <w:p>
      <w:pPr>
        <w:spacing w:line="540" w:lineRule="exact"/>
        <w:ind w:firstLineChars="200" w:firstLine="632"/>
      </w:pPr>
      <w:r>
        <w:rPr>
          <w:rFonts w:hint="eastAsia"/>
        </w:rPr>
        <w:t>四</w:t>
      </w:r>
      <w:r>
        <w:t>、同一批边角废料流</w:t>
      </w:r>
      <w:r>
        <w:rPr>
          <w:rFonts w:hint="eastAsia"/>
        </w:rPr>
        <w:t>拍3次</w:t>
      </w:r>
      <w:r>
        <w:t>以上、每次拍卖公告期不少于</w:t>
      </w:r>
      <w:r>
        <w:rPr>
          <w:rFonts w:hint="eastAsia"/>
        </w:rPr>
        <w:t>3日</w:t>
      </w:r>
      <w:r>
        <w:t>，且</w:t>
      </w:r>
      <w:r>
        <w:rPr>
          <w:rFonts w:hint="eastAsia"/>
        </w:rPr>
        <w:t>其中1次</w:t>
      </w:r>
      <w:r>
        <w:t>为无保留价竞价的，加工贸易企业可凭不再销售的书面承诺及有关流</w:t>
      </w:r>
      <w:r>
        <w:rPr>
          <w:rFonts w:hint="eastAsia"/>
        </w:rPr>
        <w:t>拍材料</w:t>
      </w:r>
      <w:r>
        <w:t>等资料，按规定直接向海关申请办理核销手续。</w:t>
      </w:r>
    </w:p>
    <w:p>
      <w:pPr>
        <w:spacing w:line="540" w:lineRule="exact"/>
        <w:ind w:firstLineChars="200" w:firstLine="632"/>
      </w:pPr>
      <w:r>
        <w:rPr>
          <w:rFonts w:hint="eastAsia"/>
        </w:rPr>
        <w:t>五</w:t>
      </w:r>
      <w:r>
        <w:t>、本公告自</w:t>
      </w:r>
      <w:r>
        <w:rPr>
          <w:rFonts w:hint="eastAsia"/>
        </w:rPr>
        <w:t>发</w:t>
      </w:r>
      <w:r>
        <w:t>布之日起施行。</w:t>
      </w:r>
      <w:r>
        <w:rPr>
          <w:rFonts w:hint="eastAsia"/>
        </w:rPr>
        <w:t>《</w:t>
      </w:r>
      <w:r>
        <w:t>中华人民共和国</w:t>
      </w:r>
      <w:r>
        <w:rPr>
          <w:rFonts w:hint="eastAsia"/>
        </w:rPr>
        <w:t>南京</w:t>
      </w:r>
      <w:r>
        <w:t>海关</w:t>
      </w:r>
      <w:r>
        <w:rPr>
          <w:rFonts w:hint="eastAsia"/>
        </w:rPr>
        <w:t>2012年</w:t>
      </w:r>
      <w:r>
        <w:t>第</w:t>
      </w:r>
      <w:r>
        <w:rPr>
          <w:rFonts w:hint="eastAsia"/>
        </w:rPr>
        <w:t>4号</w:t>
      </w:r>
      <w:r>
        <w:t>公告</w:t>
      </w:r>
      <w:r>
        <w:rPr>
          <w:rFonts w:hint="eastAsia"/>
        </w:rPr>
        <w:t>》</w:t>
      </w:r>
      <w:r>
        <w:t>和</w:t>
      </w:r>
      <w:r>
        <w:rPr>
          <w:rFonts w:hint="eastAsia"/>
        </w:rPr>
        <w:t>《</w:t>
      </w:r>
      <w:r>
        <w:t>中华人民共和国</w:t>
      </w:r>
      <w:r>
        <w:rPr>
          <w:rFonts w:hint="eastAsia"/>
        </w:rPr>
        <w:t>南京</w:t>
      </w:r>
      <w:r>
        <w:t>海关</w:t>
      </w:r>
      <w:r>
        <w:rPr>
          <w:rFonts w:hint="eastAsia"/>
        </w:rPr>
        <w:t>2013年</w:t>
      </w:r>
      <w:r>
        <w:t>第</w:t>
      </w:r>
      <w:r>
        <w:rPr>
          <w:rFonts w:hint="eastAsia"/>
        </w:rPr>
        <w:t>6号</w:t>
      </w:r>
      <w:r>
        <w:t>公告</w:t>
      </w:r>
      <w:r>
        <w:rPr>
          <w:rFonts w:hint="eastAsia"/>
        </w:rPr>
        <w:t>》同时</w:t>
      </w:r>
      <w:r>
        <w:t>废止。</w:t>
      </w:r>
    </w:p>
    <w:p>
      <w:pPr>
        <w:spacing w:line="540" w:lineRule="exact"/>
        <w:ind w:firstLineChars="200" w:firstLine="632"/>
      </w:pPr>
      <w:r>
        <w:t>特此公告。</w:t>
      </w:r>
    </w:p>
    <w:p>
      <w:pPr>
        <w:spacing w:line="540" w:lineRule="exact"/>
      </w:pPr>
      <w:r>
        <w:t xml:space="preserve"> </w:t>
      </w:r>
    </w:p>
    <w:p>
      <w:pPr>
        <w:spacing w:line="540" w:lineRule="exact"/>
      </w:pPr>
    </w:p>
    <w:p>
      <w:pPr>
        <w:spacing w:line="540" w:lineRule="exact"/>
      </w:pPr>
    </w:p>
    <w:p>
      <w:pPr>
        <w:adjustRightInd w:val="0"/>
        <w:snapToGrid w:val="0"/>
        <w:spacing w:line="540" w:lineRule="exact"/>
      </w:pPr>
    </w:p>
    <w:p>
      <w:pPr>
        <w:adjustRightInd w:val="0"/>
        <w:snapToGrid w:val="0"/>
        <w:spacing w:line="540" w:lineRule="exact"/>
        <w:ind w:rightChars="600" w:right="1895"/>
        <w:jc w:val="right"/>
      </w:pPr>
      <w:r>
        <w:rPr>
          <w:rFonts w:hint="eastAsia"/>
        </w:rPr>
        <w:t>南京海关</w:t>
      </w:r>
    </w:p>
    <w:p>
      <w:pPr>
        <w:wordWrap w:val="0"/>
        <w:adjustRightInd w:val="0"/>
        <w:snapToGrid w:val="0"/>
        <w:spacing w:line="540" w:lineRule="exact"/>
        <w:ind w:rightChars="400" w:right="1263" w:firstLineChars="1500" w:firstLine="4738"/>
        <w:jc w:val="right"/>
      </w:pPr>
      <w:r>
        <w:rPr>
          <w:rFonts w:cs="方正仿宋_GBK" w:hint="eastAsia"/>
        </w:rPr>
        <w:t>2025年  月  日</w:t>
      </w:r>
    </w:p>
    <w:p>
      <w:pPr>
        <w:adjustRightInd w:val="0"/>
        <w:snapToGrid w:val="0"/>
        <w:spacing w:line="560" w:lineRule="exact"/>
        <w:rPr>
          <w:rFonts w:eastAsia="方正黑体_GBK" w:cs="方正黑体_GBK"/>
        </w:rPr>
      </w:pPr>
    </w:p>
    <w:p>
      <w:pPr>
        <w:adjustRightInd w:val="0"/>
        <w:snapToGrid w:val="0"/>
        <w:spacing w:line="560" w:lineRule="exact"/>
        <w:rPr>
          <w:rFonts w:eastAsia="方正黑体_GBK" w:cs="方正黑体_GBK"/>
        </w:rPr>
      </w:pPr>
    </w:p>
    <w:p>
      <w:pPr>
        <w:adjustRightInd w:val="0"/>
        <w:snapToGrid w:val="0"/>
        <w:spacing w:line="560" w:lineRule="exact"/>
      </w:pPr>
    </w:p>
    <w:p>
      <w:pPr>
        <w:adjustRightInd w:val="0"/>
        <w:snapToGrid w:val="0"/>
        <w:spacing w:line="560" w:lineRule="exact"/>
      </w:pPr>
      <w:r>
        <w:rPr>
          <w:rFonts w:hint="eastAsia"/>
        </w:rPr>
        <mc:AlternateContent>
          <mc:Choice Requires="wps">
            <w:drawing>
              <wp:anchor distT="0" distB="0" distL="114298" distR="114298" simplePos="0" relativeHeight="10" behindDoc="0" locked="0" layoutInCell="1" hidden="0" allowOverlap="1">
                <wp:simplePos x="0" y="0"/>
                <wp:positionH relativeFrom="column">
                  <wp:align>center</wp:align>
                </wp:positionH>
                <wp:positionV relativeFrom="margin">
                  <wp:align>bottom</wp:align>
                </wp:positionV>
                <wp:extent cx="5614034" cy="2058035"/>
                <wp:effectExtent l="0" t="0" r="0" b="0"/>
                <wp:wrapSquare wrapText="bothSides"/>
                <wp:docPr id="1" name="文本框 1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614034" cy="2058035"/>
                        </a:xfrm>
                        <a:prstGeom prst="rect"/>
                        <a:noFill/>
                        <a:ln w="9525" cmpd="sng" cap="flat">
                          <a:noFill/>
                          <a:prstDash val="solid"/>
                          <a:round/>
                        </a:ln>
                      </wps:spPr>
                      <wps:txbx id="2">
                        <w:txbxContent>
                          <w:p>
                            <w:pPr>
                              <w:spacing w:before="100" w:beforeAutospacing="1" w:after="100" w:afterAutospacing="1" w:line="14" w:lineRule="exact"/>
                              <w:rPr>
                                <w:rFonts w:ascii="方正仿宋_GBK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1 3" o:spid="_x0000_s3" filled="f" stroked="f" style="position:absolute;margin-left:0.0pt;margin-top:0.0pt;width:442.04996pt;height:162.05pt;z-index:10;mso-position-horizontal:center;mso-position-vertical:bottom;mso-position-vertical-relative:margin;mso-wrap-distance-left:8.999863pt;mso-wrap-distance-right:8.999863pt;mso-wrap-style:square;">
                <v:stroke color="#000000"/>
                <v:textbox id="848" inset="0mm,0mm,0mm,0mm" o:insetmode="custom" style="layout-flow:horizontal;v-text-anchor:top;">
                  <w:txbxContent>
                    <w:p>
                      <w:pPr>
                        <w:spacing w:before="100" w:beforeAutospacing="1" w:after="100" w:afterAutospacing="1" w:line="14" w:lineRule="exact"/>
                        <w:rPr>
                          <w:rFonts w:ascii="方正仿宋_GBK"/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footerReference w:type="default" r:id="rId2"/>
      <w:footerReference w:type="even" r:id="rId3"/>
      <w:pgSz w:w="11906" w:h="16838"/>
      <w:pgMar w:top="1985" w:right="1531" w:bottom="1814" w:left="1531" w:header="851" w:footer="992" w:gutter="0"/>
      <w:docGrid w:type="linesAndChars" w:linePitch="592" w:charSpace="-84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framePr w:w="1078" w:hRule="auto" w:wrap="around" w:vAnchor="text" w:hAnchor="page" w:x="9274" w:y="2" w:anchorLock="0"/>
      <w:tabs>
        <w:tab w:val="center" w:pos="4153"/>
        <w:tab w:val="right" w:pos="8306"/>
      </w:tabs>
      <w:rPr>
        <w:rStyle w:val="16"/>
        <w:sz w:val="28"/>
        <w:szCs w:val="28"/>
      </w:rPr>
    </w:pPr>
    <w:r>
      <w:rPr>
        <w:rStyle w:val="16"/>
        <w:rFonts w:cs="宋体" w:hint="eastAsia"/>
        <w:sz w:val="28"/>
        <w:szCs w:val="28"/>
      </w:rPr>
      <w:t>－</w:t>
    </w:r>
    <w:r>
      <w:rPr>
        <w:rStyle w:val="16"/>
        <w:sz w:val="28"/>
        <w:szCs w:val="28"/>
      </w:rPr>
      <w:fldChar w:fldCharType="begin"/>
    </w:r>
    <w:r>
      <w:rPr>
        <w:rStyle w:val="16"/>
        <w:sz w:val="28"/>
        <w:szCs w:val="28"/>
      </w:rPr>
      <w:instrText xml:space="preserve">PAGE  </w:instrText>
    </w:r>
    <w:r>
      <w:rPr>
        <w:rStyle w:val="16"/>
        <w:sz w:val="28"/>
        <w:szCs w:val="28"/>
      </w:rPr>
      <w:fldChar w:fldCharType="separate"/>
    </w:r>
    <w:r>
      <w:rPr>
        <w:rStyle w:val="16"/>
        <w:sz w:val="28"/>
        <w:szCs w:val="28"/>
      </w:rPr>
      <w:t>2</w:t>
    </w:r>
    <w:r>
      <w:rPr>
        <w:rStyle w:val="16"/>
        <w:sz w:val="28"/>
        <w:szCs w:val="28"/>
      </w:rPr>
      <w:fldChar w:fldCharType="end"/>
    </w:r>
    <w:r>
      <w:rPr>
        <w:rStyle w:val="16"/>
        <w:rFonts w:cs="宋体" w:hint="eastAsia"/>
        <w:sz w:val="28"/>
        <w:szCs w:val="28"/>
      </w:rPr>
      <w:t>－</w:t>
    </w:r>
  </w:p>
  <w:p>
    <w:pPr>
      <w:pStyle w:val="15"/>
      <w:tabs>
        <w:tab w:val="center" w:pos="4153"/>
        <w:tab w:val="right" w:pos="8306"/>
      </w:tabs>
      <w:ind w:right="360" w:firstLine="360"/>
      <w:rPr>
        <w:sz w:val="28"/>
        <w:szCs w:val="28"/>
      </w:rPr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tabs>
        <w:tab w:val="center" w:pos="4153"/>
        <w:tab w:val="right" w:pos="8306"/>
      </w:tabs>
      <w:ind w:firstLineChars="100" w:firstLine="280"/>
      <w:rPr>
        <w:sz w:val="28"/>
        <w:szCs w:val="28"/>
      </w:rPr>
    </w:pPr>
    <w:r>
      <w:rPr>
        <w:rStyle w:val="16"/>
        <w:rFonts w:cs="宋体" w:hint="eastAsia"/>
        <w:sz w:val="28"/>
        <w:szCs w:val="28"/>
      </w:rPr>
      <w:t>－</w:t>
    </w:r>
    <w:r>
      <w:rPr>
        <w:rStyle w:val="16"/>
        <w:sz w:val="28"/>
        <w:szCs w:val="28"/>
      </w:rPr>
      <w:fldChar w:fldCharType="begin"/>
    </w:r>
    <w:r>
      <w:rPr>
        <w:rStyle w:val="16"/>
        <w:sz w:val="28"/>
        <w:szCs w:val="28"/>
      </w:rPr>
      <w:instrText xml:space="preserve">PAGE  </w:instrText>
    </w:r>
    <w:r>
      <w:rPr>
        <w:rStyle w:val="16"/>
        <w:sz w:val="28"/>
        <w:szCs w:val="28"/>
      </w:rPr>
      <w:fldChar w:fldCharType="separate"/>
    </w:r>
    <w:r>
      <w:rPr>
        <w:rStyle w:val="16"/>
        <w:sz w:val="28"/>
        <w:szCs w:val="28"/>
      </w:rPr>
      <w:t>2</w:t>
    </w:r>
    <w:r>
      <w:rPr>
        <w:rStyle w:val="16"/>
        <w:sz w:val="28"/>
        <w:szCs w:val="28"/>
      </w:rPr>
      <w:fldChar w:fldCharType="end"/>
    </w:r>
    <w:r>
      <w:rPr>
        <w:rStyle w:val="16"/>
        <w:rFonts w:cs="宋体" w:hint="eastAsia"/>
        <w:sz w:val="28"/>
        <w:szCs w:val="28"/>
      </w:rPr>
      <w:t>－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bordersDoNotSurroundHeader/>
  <w:bordersDoNotSurroundFooter/>
  <w:trackRevisions/>
  <w:defaultTabStop w:val="420"/>
  <w:drawingGridHorizontalSpacing w:val="157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6">
    <w:name w:val="page number"/>
    <w:basedOn w:val="10"/>
  </w:style>
  <w:style w:type="paragraph" w:customStyle="1" w:styleId="17">
    <w:name w:val="List Paragraph"/>
    <w:basedOn w:val="0"/>
    <w:pPr>
      <w:ind w:firstLineChars="200" w:firstLine="200"/>
    </w:pPr>
  </w:style>
  <w:style w:type="character" w:styleId="18">
    <w:name w:val="Hyperlink"/>
    <w:basedOn w:val="10"/>
    <w:rPr>
      <w:color w:val="0563C1"/>
      <w:u w:val="single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0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247</TotalTime>
  <Application>Yozo_Office</Application>
  <Pages>2</Pages>
  <Words>526</Words>
  <Characters>561</Characters>
  <Lines>38</Lines>
  <Paragraphs>12</Paragraphs>
  <CharactersWithSpaces>572</CharactersWithSpaces>
  <Company>njhg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horizonadmin</dc:creator>
  <cp:lastModifiedBy>王勇</cp:lastModifiedBy>
  <cp:revision>13</cp:revision>
  <dcterms:created xsi:type="dcterms:W3CDTF">2024-10-16T02:19:00Z</dcterms:created>
  <dcterms:modified xsi:type="dcterms:W3CDTF">2025-01-07T06:54:07Z</dcterms:modified>
</cp:coreProperties>
</file>