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hint="eastAsia"/>
          <w:sz w:val="84"/>
          <w:szCs w:val="84"/>
        </w:rPr>
        <w:t>吴江海关综合技术服务中心部门预算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5</w:t>
      </w:r>
      <w:r>
        <w:rPr>
          <w:rFonts w:ascii="Times New Roman" w:hAnsi="Times New Roman" w:hint="eastAsia"/>
          <w:sz w:val="44"/>
          <w:szCs w:val="44"/>
        </w:rPr>
        <w:t>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p>
      <w:pPr>
        <w:jc w:val="center"/>
        <w:rPr>
          <w:rFonts w:ascii="Times New Roman" w:eastAsia="宋体"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rPr>
          <w:b/>
          <w:sz w:val="44"/>
          <w:szCs w:val="44"/>
        </w:rPr>
      </w:pPr>
      <w:r>
        <w:rPr>
          <w:rFonts w:ascii="宋体" w:hint="eastAsia"/>
          <w:b/>
          <w:sz w:val="44"/>
          <w:szCs w:val="44"/>
        </w:rPr>
        <w:t>第一部分</w:t>
      </w:r>
      <w:r>
        <w:rPr>
          <w:rFonts w:hint="eastAsia"/>
          <w:b/>
          <w:sz w:val="44"/>
          <w:szCs w:val="44"/>
        </w:rPr>
        <w:t xml:space="preserve"> 吴江海关综合技术服务中心</w:t>
      </w:r>
      <w:r>
        <w:rPr>
          <w:rFonts w:ascii="宋体" w:hint="eastAsia"/>
          <w:b/>
          <w:sz w:val="44"/>
          <w:szCs w:val="44"/>
        </w:rPr>
        <w:t>部门概况</w:t>
      </w:r>
    </w:p>
    <w:p>
      <w:pPr>
        <w:rPr>
          <w:sz w:val="36"/>
          <w:szCs w:val="36"/>
        </w:rPr>
      </w:pPr>
      <w:r>
        <w:rPr>
          <w:rFonts w:ascii="宋体" w:hint="eastAsia"/>
          <w:sz w:val="36"/>
          <w:szCs w:val="36"/>
        </w:rPr>
        <w:t>一、主要职能</w:t>
      </w:r>
    </w:p>
    <w:p>
      <w:pPr>
        <w:rPr>
          <w:sz w:val="36"/>
          <w:szCs w:val="36"/>
        </w:rPr>
      </w:pPr>
      <w:r>
        <w:rPr>
          <w:rFonts w:ascii="宋体" w:hint="eastAsia"/>
          <w:sz w:val="36"/>
          <w:szCs w:val="36"/>
        </w:rPr>
        <w:t>二、海关系统单位构成情况</w:t>
      </w:r>
      <w:r>
        <w:rPr>
          <w:rFonts w:hint="eastAsia"/>
          <w:sz w:val="36"/>
          <w:szCs w:val="36"/>
        </w:rPr>
        <w:t xml:space="preserve"> </w:t>
      </w:r>
    </w:p>
    <w:p>
      <w:pPr>
        <w:rPr>
          <w:b/>
          <w:sz w:val="44"/>
          <w:szCs w:val="44"/>
        </w:rPr>
      </w:pPr>
      <w:r>
        <w:rPr>
          <w:rFonts w:ascii="宋体" w:hint="eastAsia"/>
          <w:b/>
          <w:sz w:val="44"/>
          <w:szCs w:val="44"/>
        </w:rPr>
        <w:t>第二部分</w:t>
      </w:r>
      <w:r>
        <w:rPr>
          <w:rFonts w:hint="eastAsia"/>
          <w:b/>
          <w:sz w:val="44"/>
          <w:szCs w:val="44"/>
        </w:rPr>
        <w:t xml:space="preserve"> 吴江海关综合技术服务中心</w:t>
      </w:r>
      <w:r>
        <w:rPr>
          <w:b/>
          <w:sz w:val="44"/>
          <w:szCs w:val="44"/>
        </w:rPr>
        <w:t>2025年</w:t>
      </w:r>
      <w:r>
        <w:rPr>
          <w:rFonts w:ascii="宋体" w:hint="eastAsia"/>
          <w:b/>
          <w:sz w:val="44"/>
          <w:szCs w:val="44"/>
        </w:rPr>
        <w:t>部门预算表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9"/>
        <w:rPr>
          <w:sz w:val="36"/>
          <w:szCs w:val="36"/>
        </w:rPr>
      </w:pPr>
      <w:r>
        <w:rPr>
          <w:rFonts w:ascii="宋体" w:hint="eastAsia"/>
          <w:sz w:val="36"/>
          <w:szCs w:val="36"/>
        </w:rPr>
        <w:t>二、部门收入总表</w:t>
      </w:r>
    </w:p>
    <w:p>
      <w:pPr>
        <w:pStyle w:val="28"/>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color w:val="339966"/>
          <w:sz w:val="36"/>
          <w:szCs w:val="36"/>
        </w:rPr>
      </w:pPr>
      <w:r>
        <w:rPr>
          <w:rFonts w:ascii="宋体" w:hint="eastAsia"/>
          <w:sz w:val="36"/>
          <w:szCs w:val="36"/>
        </w:rPr>
        <w:t>六、</w:t>
      </w:r>
      <w:r>
        <w:rPr>
          <w:rFonts w:ascii="宋体"/>
          <w:sz w:val="36"/>
          <w:szCs w:val="36"/>
        </w:rPr>
        <w:t>一般公共预算基本支出表</w:t>
      </w:r>
    </w:p>
    <w:p>
      <w:pPr>
        <w:rPr>
          <w:sz w:val="36"/>
          <w:szCs w:val="36"/>
        </w:rPr>
      </w:pPr>
      <w:r>
        <w:rPr>
          <w:rFonts w:ascii="宋体" w:hint="eastAsia"/>
          <w:sz w:val="36"/>
          <w:szCs w:val="36"/>
        </w:rPr>
        <w:t>七、</w:t>
      </w:r>
      <w:r>
        <w:rPr>
          <w:rFonts w:ascii="宋体"/>
          <w:sz w:val="36"/>
          <w:szCs w:val="36"/>
        </w:rPr>
        <w:t>政府性基金预算支出表</w:t>
      </w:r>
    </w:p>
    <w:p>
      <w:pPr>
        <w:rPr>
          <w:rFonts w:ascii="宋体"/>
          <w:sz w:val="36"/>
          <w:szCs w:val="36"/>
        </w:rPr>
      </w:pPr>
      <w:r>
        <w:rPr>
          <w:rFonts w:ascii="宋体" w:hint="eastAsia"/>
          <w:sz w:val="36"/>
          <w:szCs w:val="36"/>
        </w:rPr>
        <w:t>八、</w:t>
      </w:r>
      <w:r>
        <w:rPr>
          <w:rFonts w:ascii="宋体"/>
          <w:sz w:val="36"/>
          <w:szCs w:val="36"/>
        </w:rPr>
        <w:t>国有资本经营预算支出表</w:t>
      </w:r>
    </w:p>
    <w:p>
      <w:pPr>
        <w:rPr>
          <w:sz w:val="36"/>
          <w:szCs w:val="36"/>
        </w:rPr>
      </w:pPr>
      <w:r>
        <w:rPr>
          <w:rFonts w:ascii="宋体"/>
          <w:sz w:val="36"/>
          <w:szCs w:val="36"/>
        </w:rPr>
        <w:t>九、</w:t>
      </w:r>
      <w:r>
        <w:rPr>
          <w:rFonts w:ascii="宋体" w:hint="eastAsia"/>
          <w:sz w:val="36"/>
          <w:szCs w:val="36"/>
        </w:rPr>
        <w:t>财政拨款预算“三公”经费支出表</w:t>
      </w:r>
    </w:p>
    <w:p>
      <w:pPr>
        <w:ind w:left="2146" w:hangingChars="492" w:hanging="2164"/>
        <w:rPr>
          <w:b/>
          <w:sz w:val="44"/>
          <w:szCs w:val="44"/>
        </w:rPr>
      </w:pPr>
      <w:r>
        <w:rPr>
          <w:rFonts w:ascii="宋体" w:hint="eastAsia"/>
          <w:b/>
          <w:sz w:val="44"/>
          <w:szCs w:val="44"/>
        </w:rPr>
        <w:t>第三部分</w:t>
      </w:r>
      <w:r>
        <w:rPr>
          <w:rFonts w:hint="eastAsia"/>
          <w:b/>
          <w:sz w:val="44"/>
          <w:szCs w:val="44"/>
        </w:rPr>
        <w:t xml:space="preserve"> 吴江海关综合技术服务中心</w:t>
      </w:r>
      <w:r>
        <w:rPr>
          <w:b/>
          <w:sz w:val="44"/>
          <w:szCs w:val="44"/>
        </w:rPr>
        <w:t>2025年</w:t>
      </w:r>
      <w:r>
        <w:rPr>
          <w:rFonts w:ascii="宋体" w:hint="eastAsia"/>
          <w:b/>
          <w:sz w:val="44"/>
          <w:szCs w:val="44"/>
        </w:rPr>
        <w:t>部门预算情况说明</w:t>
      </w:r>
    </w:p>
    <w:p>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rPr>
          <w:b/>
          <w:sz w:val="44"/>
          <w:szCs w:val="44"/>
        </w:rPr>
        <w:sectPr>
          <w:pgSz w:w="11906" w:h="16838"/>
          <w:pgMar w:top="1440" w:right="1800" w:bottom="1440" w:left="1800" w:header="851" w:footer="992" w:gutter="0"/>
          <w:docGrid w:type="lines" w:linePitch="312" w:charSpace="0"/>
        </w:sect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吴江海关综合技术</w:t>
      </w:r>
    </w:p>
    <w:p>
      <w:pPr>
        <w:jc w:val="center"/>
        <w:rPr>
          <w:rFonts w:ascii="Times New Roman" w:hAnsi="Times New Roman"/>
          <w:b/>
          <w:sz w:val="84"/>
          <w:szCs w:val="84"/>
        </w:rPr>
      </w:pPr>
      <w:r>
        <w:rPr>
          <w:rFonts w:ascii="Times New Roman" w:hAnsi="Times New Roman"/>
          <w:b/>
          <w:sz w:val="84"/>
          <w:szCs w:val="84"/>
        </w:rPr>
        <w:t>服务</w:t>
      </w:r>
      <w:r>
        <w:rPr>
          <w:rFonts w:ascii="Times New Roman" w:hAnsi="Times New Roman" w:hint="eastAsia"/>
          <w:b/>
          <w:sz w:val="84"/>
          <w:szCs w:val="84"/>
        </w:rPr>
        <w:t>中心部门概况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pStyle w:val="30"/>
        <w:numPr>
          <w:ilvl w:val="0"/>
          <w:numId w:val="1"/>
        </w:numPr>
        <w:spacing w:line="560" w:lineRule="exact"/>
        <w:ind w:firstLineChars="0"/>
        <w:jc w:val="left"/>
        <w:rPr>
          <w:rFonts w:ascii="Times New Roman" w:eastAsia="方正黑体_GBK" w:hAnsi="Times New Roman"/>
          <w:sz w:val="32"/>
          <w:szCs w:val="32"/>
        </w:rPr>
      </w:pPr>
      <w:r>
        <w:rPr>
          <w:rFonts w:ascii="Times New Roman" w:eastAsia="方正黑体_GBK" w:hAnsi="Times New Roman" w:hint="eastAsia"/>
          <w:sz w:val="32"/>
          <w:szCs w:val="32"/>
        </w:rPr>
        <w:t>主要职能</w:t>
      </w:r>
    </w:p>
    <w:p>
      <w:pPr>
        <w:spacing w:line="560" w:lineRule="exact"/>
        <w:ind w:left="0" w:firstLineChars="200" w:firstLine="640"/>
        <w:jc w:val="left"/>
        <w:rPr>
          <w:rFonts w:eastAsia="方正仿宋_GBK"/>
          <w:sz w:val="32"/>
          <w:szCs w:val="32"/>
        </w:rPr>
      </w:pPr>
      <w:r>
        <w:rPr>
          <w:rFonts w:eastAsia="方正仿宋_GBK" w:hint="eastAsia"/>
          <w:sz w:val="32"/>
          <w:szCs w:val="32"/>
        </w:rPr>
        <w:t>吴江海关综合技术服务中心承担出入境检验检疫的</w:t>
      </w:r>
      <w:r>
        <w:rPr>
          <w:rFonts w:eastAsia="方正仿宋_GBK"/>
          <w:sz w:val="32"/>
          <w:szCs w:val="32"/>
        </w:rPr>
        <w:t>实验室</w:t>
      </w:r>
      <w:r>
        <w:rPr>
          <w:rFonts w:eastAsia="方正仿宋_GBK" w:hint="eastAsia"/>
          <w:sz w:val="32"/>
          <w:szCs w:val="32"/>
        </w:rPr>
        <w:t>检测、检疫、鉴定等工作；承担上级许可的海关监管商品化验归类工作；承担所属实验室日常管理、能力建设等相关工作；承担相关科研与技术开发服务和标准的制修订；提供技术咨询和技术培训，开展对外技术合作与交流；负责机关的后勤保障。</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、海关系统单位构成情况</w:t>
      </w:r>
    </w:p>
    <w:p>
      <w:pPr>
        <w:ind w:firstLineChars="200" w:firstLine="640"/>
        <w:rPr>
          <w:rFonts w:eastAsia="方正仿宋_GBK"/>
          <w:sz w:val="32"/>
          <w:szCs w:val="32"/>
        </w:rPr>
      </w:pPr>
      <w:r>
        <w:rPr>
          <w:rFonts w:eastAsia="方正仿宋_GBK" w:hint="eastAsia"/>
          <w:sz w:val="32"/>
          <w:szCs w:val="32"/>
        </w:rPr>
        <w:t>吴江海关综合技术服务中心是中编办下属事业单位，正科级建制。</w:t>
      </w:r>
    </w:p>
    <w:p>
      <w:pPr>
        <w:ind w:firstLineChars="200" w:firstLine="640"/>
        <w:rPr>
          <w:rFonts w:eastAsia="方正仿宋_GBK"/>
          <w:sz w:val="32"/>
          <w:szCs w:val="32"/>
        </w:rPr>
      </w:pPr>
      <w:r>
        <w:rPr>
          <w:rFonts w:eastAsia="方正仿宋_GBK" w:hint="eastAsia"/>
          <w:sz w:val="32"/>
          <w:szCs w:val="32"/>
        </w:rPr>
        <w:t>机构年内无变动。</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w:t>
      </w:r>
      <w:r>
        <w:rPr>
          <w:rFonts w:eastAsia="方正仿宋_GBK" w:hint="eastAsia"/>
          <w:sz w:val="32"/>
          <w:szCs w:val="32"/>
        </w:rPr>
        <w:t>吴江海关综合技术服务中心，</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年部门预算编制范围的单位如下：</w:t>
      </w:r>
    </w:p>
    <w:tbl>
      <w:tblPr>
        <w:jc w:val="center"/>
        <w:tblW w:w="892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04"/>
        <w:gridCol w:w="2977"/>
        <w:gridCol w:w="709"/>
        <w:gridCol w:w="4536"/>
      </w:tblGrid>
      <w:tr>
        <w:trPr>
          <w:trHeight w:hRule="exact" w:val="312"/>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序号</w:t>
            </w:r>
          </w:p>
        </w:tc>
        <w:tc>
          <w:tcPr>
            <w:tcW w:w="2977"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单位名称</w:t>
            </w:r>
          </w:p>
        </w:tc>
        <w:tc>
          <w:tcPr>
            <w:tcW w:w="709"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序号</w:t>
            </w:r>
          </w:p>
        </w:tc>
        <w:tc>
          <w:tcPr>
            <w:tcW w:w="4536"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单位名称</w:t>
            </w: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jc w:val="center"/>
              <w:rPr>
                <w:color w:val="000000"/>
                <w:sz w:val="20"/>
                <w:szCs w:val="20"/>
              </w:rPr>
            </w:pPr>
            <w:r>
              <w:rPr>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center"/>
          </w:tcPr>
          <w:p>
            <w:pPr>
              <w:jc w:val="center"/>
              <w:rPr>
                <w:rFonts w:eastAsia="宋体"/>
                <w:color w:val="000000"/>
                <w:sz w:val="20"/>
                <w:szCs w:val="20"/>
              </w:rPr>
            </w:pPr>
            <w:r>
              <w:rPr>
                <w:rFonts w:hint="eastAsia"/>
                <w:color w:val="000000"/>
                <w:sz w:val="20"/>
                <w:szCs w:val="20"/>
              </w:rPr>
              <w:t>吴江海关综合技术服务中心</w:t>
            </w: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jc w:val="center"/>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r>
        <w:trPr>
          <w:trHeight w:hRule="exact" w:val="312"/>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bl>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pPr>
        <w:rPr>
          <w:rFonts w:ascii="Times New Roman" w:hAnsi="Times New Roman"/>
          <w:b/>
          <w:sz w:val="72"/>
          <w:szCs w:val="72"/>
        </w:rPr>
      </w:pPr>
      <w:r>
        <w:rPr>
          <w:rFonts w:ascii="Times New Roman" w:hAnsi="Times New Roman" w:hint="eastAsia"/>
          <w:b/>
          <w:sz w:val="72"/>
          <w:szCs w:val="72"/>
        </w:rPr>
        <w:t>吴江海关综合技术服务</w:t>
      </w:r>
    </w:p>
    <w:p>
      <w:pPr>
        <w:rPr>
          <w:rFonts w:ascii="Times New Roman" w:hAnsi="Times New Roman"/>
          <w:szCs w:val="21"/>
        </w:rPr>
      </w:pPr>
      <w:r>
        <w:rPr>
          <w:rFonts w:ascii="Times New Roman" w:hAnsi="Times New Roman" w:hint="eastAsia"/>
          <w:b/>
          <w:sz w:val="72"/>
          <w:szCs w:val="72"/>
        </w:rPr>
        <w:t>中心</w:t>
      </w:r>
      <w:r>
        <w:rPr>
          <w:rFonts w:ascii="Times New Roman" w:hAnsi="Times New Roman"/>
          <w:b/>
          <w:sz w:val="72"/>
          <w:szCs w:val="72"/>
        </w:rPr>
        <w:t>2025年</w:t>
      </w:r>
      <w:r>
        <w:rPr>
          <w:rFonts w:ascii="Times New Roman" w:hAnsi="Times New Roman" w:hint="eastAsia"/>
          <w:b/>
          <w:sz w:val="72"/>
          <w:szCs w:val="72"/>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lef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926"/>
        <w:gridCol w:w="3151"/>
        <w:gridCol w:w="4071"/>
        <w:gridCol w:w="2284"/>
      </w:tblGrid>
      <w:tr>
        <w:trPr>
          <w:trHeight w:val="299"/>
        </w:trPr>
        <w:tc>
          <w:tcPr>
            <w:tcW w:w="5926" w:type="dxa"/>
            <w:tcBorders>
              <w:top w:val="nil"/>
              <w:left w:val="nil"/>
              <w:bottom w:val="nil"/>
              <w:right w:val="nil"/>
              <w:tl2br w:val="nil"/>
              <w:tr2bl w:val="nil"/>
            </w:tcBorders>
            <w:noWrap/>
            <w:vAlign w:val="center"/>
          </w:tcPr>
          <w:p>
            <w:pPr>
              <w:rPr>
                <w:rFonts w:ascii="宋体" w:eastAsia="宋体"/>
                <w:sz w:val="20"/>
              </w:rPr>
            </w:pPr>
          </w:p>
        </w:tc>
        <w:tc>
          <w:tcPr>
            <w:tcW w:w="1893" w:type="dxa"/>
            <w:tcBorders>
              <w:top w:val="nil"/>
              <w:left w:val="nil"/>
              <w:bottom w:val="nil"/>
              <w:right w:val="nil"/>
              <w:tl2br w:val="nil"/>
              <w:tr2bl w:val="nil"/>
            </w:tcBorders>
            <w:noWrap/>
            <w:vAlign w:val="center"/>
          </w:tcPr>
          <w:p>
            <w:pPr>
              <w:rPr>
                <w:rFonts w:ascii="宋体" w:eastAsia="宋体"/>
                <w:sz w:val="20"/>
              </w:rPr>
            </w:pPr>
          </w:p>
        </w:tc>
        <w:tc>
          <w:tcPr>
            <w:tcW w:w="4071" w:type="dxa"/>
            <w:tcBorders>
              <w:top w:val="nil"/>
              <w:left w:val="nil"/>
              <w:bottom w:val="nil"/>
              <w:right w:val="nil"/>
              <w:tl2br w:val="nil"/>
              <w:tr2bl w:val="nil"/>
            </w:tcBorders>
            <w:noWrap/>
            <w:vAlign w:val="center"/>
          </w:tcPr>
          <w:p>
            <w:pPr>
              <w:rPr>
                <w:rFonts w:ascii="宋体" w:eastAsia="宋体"/>
                <w:sz w:val="20"/>
              </w:rPr>
            </w:pPr>
          </w:p>
        </w:tc>
        <w:tc>
          <w:tcPr>
            <w:tcW w:w="2284" w:type="dxa"/>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批复表1</w:t>
            </w:r>
          </w:p>
        </w:tc>
      </w:tr>
      <w:tr>
        <w:trPr>
          <w:trHeight w:val="614"/>
        </w:trPr>
        <w:tc>
          <w:tcPr>
            <w:tcW w:w="14174" w:type="dxa"/>
            <w:gridSpan w:val="4"/>
            <w:tcBorders>
              <w:top w:val="nil"/>
              <w:left w:val="nil"/>
              <w:bottom w:val="nil"/>
              <w:right w:val="nil"/>
              <w:tl2br w:val="nil"/>
              <w:tr2bl w:val="nil"/>
            </w:tcBorders>
            <w:noWrap/>
            <w:vAlign w:val="center"/>
          </w:tcPr>
          <w:p>
            <w:pPr>
              <w:jc w:val="center"/>
              <w:rPr>
                <w:rFonts w:ascii="宋体" w:eastAsia="宋体" w:cs="宋体"/>
                <w:b/>
                <w:i w:val="0"/>
                <w:color w:val="000000"/>
                <w:sz w:val="48"/>
              </w:rPr>
            </w:pPr>
            <w:r>
              <w:rPr>
                <w:rFonts w:ascii="宋体" w:eastAsia="宋体" w:cs="宋体"/>
                <w:b/>
                <w:i w:val="0"/>
                <w:color w:val="000000"/>
                <w:sz w:val="48"/>
              </w:rPr>
              <w:t>部门收支总表</w:t>
            </w:r>
          </w:p>
        </w:tc>
      </w:tr>
      <w:tr>
        <w:trPr>
          <w:trHeight w:val="329"/>
        </w:trPr>
        <w:tc>
          <w:tcPr>
            <w:tcW w:w="5926" w:type="dxa"/>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单位：吴江海关综合技术服务中心</w:t>
            </w:r>
          </w:p>
        </w:tc>
        <w:tc>
          <w:tcPr>
            <w:tcW w:w="1893" w:type="dxa"/>
            <w:tcBorders>
              <w:top w:val="nil"/>
              <w:left w:val="nil"/>
              <w:bottom w:val="nil"/>
              <w:right w:val="nil"/>
              <w:tl2br w:val="nil"/>
              <w:tr2bl w:val="nil"/>
            </w:tcBorders>
            <w:noWrap/>
            <w:vAlign w:val="center"/>
          </w:tcPr>
          <w:p>
            <w:pPr>
              <w:rPr>
                <w:rFonts w:ascii="宋体" w:eastAsia="宋体"/>
                <w:color w:val="000000"/>
                <w:sz w:val="18"/>
              </w:rPr>
            </w:pPr>
          </w:p>
        </w:tc>
        <w:tc>
          <w:tcPr>
            <w:tcW w:w="4071" w:type="dxa"/>
            <w:tcBorders>
              <w:top w:val="nil"/>
              <w:left w:val="nil"/>
              <w:bottom w:val="nil"/>
              <w:right w:val="nil"/>
              <w:tl2br w:val="nil"/>
              <w:tr2bl w:val="nil"/>
            </w:tcBorders>
            <w:noWrap/>
            <w:vAlign w:val="center"/>
          </w:tcPr>
          <w:p>
            <w:pPr>
              <w:rPr>
                <w:rFonts w:ascii="宋体" w:eastAsia="宋体"/>
                <w:color w:val="000000"/>
                <w:sz w:val="18"/>
              </w:rPr>
            </w:pPr>
          </w:p>
        </w:tc>
        <w:tc>
          <w:tcPr>
            <w:tcW w:w="2284" w:type="dxa"/>
            <w:tcBorders>
              <w:top w:val="nil"/>
              <w:left w:val="nil"/>
              <w:bottom w:val="nil"/>
              <w:right w:val="nil"/>
              <w:tl2br w:val="nil"/>
              <w:tr2bl w:val="nil"/>
            </w:tcBorders>
            <w:noWrap/>
            <w:vAlign w:val="center"/>
          </w:tcPr>
          <w:p>
            <w:pPr>
              <w:jc w:val="right"/>
              <w:rPr>
                <w:rFonts w:ascii="宋体" w:eastAsia="宋体" w:cs="宋体"/>
                <w:color w:val="000000"/>
                <w:sz w:val="18"/>
              </w:rPr>
            </w:pPr>
            <w:r>
              <w:rPr>
                <w:rFonts w:ascii="宋体" w:eastAsia="宋体" w:cs="宋体"/>
                <w:color w:val="000000"/>
                <w:sz w:val="18"/>
              </w:rPr>
              <w:t>单位：万元</w:t>
            </w:r>
          </w:p>
        </w:tc>
      </w:tr>
      <w:tr>
        <w:trPr>
          <w:trHeight w:val="374"/>
        </w:trPr>
        <w:tc>
          <w:tcPr>
            <w:tcW w:w="829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收      入</w:t>
            </w:r>
          </w:p>
        </w:tc>
        <w:tc>
          <w:tcPr>
            <w:tcW w:w="587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支      出</w:t>
            </w: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一、一般公共预算拨款收入</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348.00</w:t>
            </w: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一、一般公共服务支出</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1,034.00</w:t>
            </w: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二、政府性基金预算拨款收入</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二、社会保障和就业支出</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130.00</w:t>
            </w: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三、国有资本经营预算拨款收入</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三、卫生健康支出</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34.00</w:t>
            </w: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四、事业收入</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80.00</w:t>
            </w: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四、住房保障支出</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230.00</w:t>
            </w: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五、事业单位经营收入</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六、其他收入</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825.00</w:t>
            </w: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本年收入合计</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1,253.00</w:t>
            </w: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本年支出合计</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1,428.00</w:t>
            </w: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使用非财政拨款结余</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175.00</w:t>
            </w: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结转下年（非财政拨款）</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上年结转</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59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收    入    总    计</w:t>
            </w:r>
          </w:p>
        </w:tc>
        <w:tc>
          <w:tcPr>
            <w:tcW w:w="18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1,428.00</w:t>
            </w:r>
          </w:p>
        </w:tc>
        <w:tc>
          <w:tcPr>
            <w:tcW w:w="407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支    出    总    计</w:t>
            </w:r>
          </w:p>
        </w:tc>
        <w:tc>
          <w:tcPr>
            <w:tcW w:w="22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1,428.00</w:t>
            </w:r>
          </w:p>
        </w:tc>
      </w:tr>
      <w:tr>
        <w:trPr>
          <w:trHeight w:val="319"/>
          <w:gridAfter w:val="1"/>
          <w:wAfter w:w="2284" w:type="dxa"/>
        </w:trPr>
        <w:tc>
          <w:tcPr>
            <w:tcW w:w="9077" w:type="dxa"/>
            <w:gridSpan w:val="2"/>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24"/>
                <w:szCs w:val="24"/>
              </w:rPr>
            </w:pPr>
          </w:p>
        </w:tc>
        <w:tc>
          <w:tcPr>
            <w:tcW w:w="2937"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Ind w:w="0" w:type="dxa"/>
        <w:tblW w:w="4996" w:type="pct"/>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
      <w:tblGrid>
        <w:gridCol w:w="1205"/>
        <w:gridCol w:w="414"/>
        <w:gridCol w:w="350"/>
        <w:gridCol w:w="1007"/>
        <w:gridCol w:w="1106"/>
        <w:gridCol w:w="1205"/>
        <w:gridCol w:w="809"/>
        <w:gridCol w:w="414"/>
        <w:gridCol w:w="414"/>
        <w:gridCol w:w="809"/>
        <w:gridCol w:w="908"/>
        <w:gridCol w:w="1007"/>
        <w:gridCol w:w="266"/>
        <w:gridCol w:w="1106"/>
        <w:gridCol w:w="809"/>
        <w:gridCol w:w="414"/>
        <w:gridCol w:w="414"/>
        <w:gridCol w:w="414"/>
        <w:gridCol w:w="908"/>
      </w:tblGrid>
      <w:tr>
        <w:trPr>
          <w:trHeight w:val="330"/>
        </w:trPr>
        <w:tc>
          <w:tcPr>
            <w:tcW w:w="418" w:type="pct"/>
            <w:shd w:val="clear" w:color="auto" w:fill="auto"/>
            <w:noWrap/>
            <w:vAlign w:val="bottom"/>
          </w:tcPr>
          <w:p>
            <w:pPr>
              <w:rPr>
                <w:rFonts w:ascii="Calibri" w:cs="Calibri" w:hAnsi="Calibri" w:hint="eastAsia"/>
                <w:i w:val="0"/>
                <w:iCs w:val="0"/>
                <w:color w:val="auto"/>
                <w:sz w:val="24"/>
                <w:szCs w:val="24"/>
              </w:rPr>
            </w:pPr>
          </w:p>
        </w:tc>
        <w:tc>
          <w:tcPr>
            <w:tcW w:w="143" w:type="pct"/>
            <w:shd w:val="clear" w:color="auto" w:fill="auto"/>
            <w:noWrap/>
            <w:vAlign w:val="bottom"/>
          </w:tcPr>
          <w:p>
            <w:pPr>
              <w:rPr>
                <w:rFonts w:ascii="Calibri" w:cs="Calibri" w:hAnsi="Calibri"/>
                <w:i w:val="0"/>
                <w:iCs w:val="0"/>
                <w:color w:val="auto"/>
                <w:sz w:val="24"/>
                <w:szCs w:val="24"/>
              </w:rPr>
            </w:pPr>
          </w:p>
        </w:tc>
        <w:tc>
          <w:tcPr>
            <w:tcW w:w="261"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350" w:type="pct"/>
            <w:shd w:val="clear" w:color="auto" w:fill="auto"/>
            <w:noWrap/>
            <w:vAlign w:val="bottom"/>
          </w:tcPr>
          <w:p>
            <w:pPr>
              <w:rPr>
                <w:rFonts w:ascii="Calibri" w:cs="Calibri" w:hAnsi="Calibri"/>
                <w:i w:val="0"/>
                <w:iCs w:val="0"/>
                <w:color w:val="auto"/>
                <w:sz w:val="24"/>
                <w:szCs w:val="24"/>
              </w:rPr>
            </w:pPr>
          </w:p>
        </w:tc>
        <w:tc>
          <w:tcPr>
            <w:tcW w:w="384" w:type="pct"/>
            <w:shd w:val="clear" w:color="auto" w:fill="auto"/>
            <w:noWrap/>
            <w:vAlign w:val="bottom"/>
          </w:tcPr>
          <w:p>
            <w:pPr>
              <w:rPr>
                <w:rFonts w:ascii="Calibri" w:cs="Calibri" w:hAnsi="Calibri"/>
                <w:i w:val="0"/>
                <w:iCs w:val="0"/>
                <w:color w:val="auto"/>
                <w:sz w:val="24"/>
                <w:szCs w:val="24"/>
              </w:rPr>
            </w:pPr>
          </w:p>
        </w:tc>
        <w:tc>
          <w:tcPr>
            <w:tcW w:w="418" w:type="pct"/>
            <w:shd w:val="clear" w:color="auto" w:fill="auto"/>
            <w:noWrap/>
            <w:vAlign w:val="bottom"/>
          </w:tcPr>
          <w:p>
            <w:pPr>
              <w:rPr>
                <w:rFonts w:ascii="Calibri" w:cs="Calibri" w:hAnsi="Calibri"/>
                <w:i w:val="0"/>
                <w:iCs w:val="0"/>
                <w:color w:val="auto"/>
                <w:sz w:val="24"/>
                <w:szCs w:val="24"/>
              </w:rPr>
            </w:pPr>
          </w:p>
        </w:tc>
        <w:tc>
          <w:tcPr>
            <w:tcW w:w="281" w:type="pct"/>
            <w:shd w:val="clear" w:color="auto" w:fill="auto"/>
            <w:noWrap/>
            <w:vAlign w:val="bottom"/>
          </w:tcPr>
          <w:p>
            <w:pPr>
              <w:rPr>
                <w:rFonts w:ascii="Calibri" w:cs="Calibri" w:hAnsi="Calibri"/>
                <w:i w:val="0"/>
                <w:iCs w:val="0"/>
                <w:color w:val="auto"/>
                <w:sz w:val="24"/>
                <w:szCs w:val="24"/>
              </w:rPr>
            </w:pPr>
          </w:p>
        </w:tc>
        <w:tc>
          <w:tcPr>
            <w:tcW w:w="143" w:type="pct"/>
            <w:shd w:val="clear" w:color="auto" w:fill="auto"/>
            <w:noWrap/>
            <w:vAlign w:val="bottom"/>
          </w:tcPr>
          <w:p>
            <w:pPr>
              <w:rPr>
                <w:rFonts w:ascii="Calibri" w:cs="Calibri" w:hAnsi="Calibri"/>
                <w:i w:val="0"/>
                <w:iCs w:val="0"/>
                <w:color w:val="auto"/>
                <w:sz w:val="24"/>
                <w:szCs w:val="24"/>
              </w:rPr>
            </w:pPr>
          </w:p>
        </w:tc>
        <w:tc>
          <w:tcPr>
            <w:tcW w:w="143" w:type="pct"/>
            <w:shd w:val="clear" w:color="auto" w:fill="auto"/>
            <w:noWrap/>
            <w:vAlign w:val="bottom"/>
          </w:tcPr>
          <w:p>
            <w:pPr>
              <w:rPr>
                <w:rFonts w:ascii="Calibri" w:cs="Calibri" w:hAnsi="Calibri"/>
                <w:i w:val="0"/>
                <w:iCs w:val="0"/>
                <w:color w:val="auto"/>
                <w:sz w:val="24"/>
                <w:szCs w:val="24"/>
              </w:rPr>
            </w:pPr>
          </w:p>
        </w:tc>
        <w:tc>
          <w:tcPr>
            <w:tcW w:w="281" w:type="pct"/>
            <w:shd w:val="clear" w:color="auto" w:fill="auto"/>
            <w:noWrap/>
            <w:vAlign w:val="bottom"/>
          </w:tcPr>
          <w:p>
            <w:pPr>
              <w:rPr>
                <w:rFonts w:ascii="Calibri" w:cs="Calibri" w:hAnsi="Calibri"/>
                <w:i w:val="0"/>
                <w:iCs w:val="0"/>
                <w:color w:val="auto"/>
                <w:sz w:val="24"/>
                <w:szCs w:val="24"/>
              </w:rPr>
            </w:pPr>
          </w:p>
        </w:tc>
        <w:tc>
          <w:tcPr>
            <w:tcW w:w="315" w:type="pct"/>
            <w:shd w:val="clear" w:color="auto" w:fill="auto"/>
            <w:noWrap/>
            <w:vAlign w:val="bottom"/>
          </w:tcPr>
          <w:p>
            <w:pPr>
              <w:rPr>
                <w:rFonts w:ascii="Calibri" w:cs="Calibri" w:hAnsi="Calibri"/>
                <w:i w:val="0"/>
                <w:iCs w:val="0"/>
                <w:color w:val="auto"/>
                <w:sz w:val="24"/>
                <w:szCs w:val="24"/>
              </w:rPr>
            </w:pPr>
          </w:p>
        </w:tc>
        <w:tc>
          <w:tcPr>
            <w:tcW w:w="350" w:type="pct"/>
            <w:shd w:val="clear" w:color="auto" w:fill="auto"/>
            <w:noWrap/>
            <w:vAlign w:val="bottom"/>
          </w:tcPr>
          <w:p>
            <w:pPr>
              <w:rPr>
                <w:rFonts w:ascii="Calibri" w:cs="Calibri" w:hAnsi="Calibri"/>
                <w:i w:val="0"/>
                <w:iCs w:val="0"/>
                <w:color w:val="auto"/>
                <w:sz w:val="24"/>
                <w:szCs w:val="24"/>
              </w:rPr>
            </w:pPr>
          </w:p>
        </w:tc>
        <w:tc>
          <w:tcPr>
            <w:tcW w:w="92" w:type="pct"/>
            <w:shd w:val="clear" w:color="auto" w:fill="auto"/>
            <w:noWrap/>
            <w:vAlign w:val="bottom"/>
          </w:tcPr>
          <w:p>
            <w:pPr>
              <w:rPr>
                <w:rFonts w:ascii="Calibri" w:cs="Calibri" w:hAnsi="Calibri"/>
                <w:i w:val="0"/>
                <w:iCs w:val="0"/>
                <w:color w:val="auto"/>
                <w:sz w:val="24"/>
                <w:szCs w:val="24"/>
              </w:rPr>
            </w:pPr>
          </w:p>
        </w:tc>
        <w:tc>
          <w:tcPr>
            <w:tcW w:w="384" w:type="pct"/>
            <w:shd w:val="clear" w:color="auto" w:fill="auto"/>
            <w:noWrap/>
            <w:vAlign w:val="bottom"/>
          </w:tcPr>
          <w:p>
            <w:pPr>
              <w:rPr>
                <w:rFonts w:ascii="Calibri" w:cs="Calibri" w:hAnsi="Calibri"/>
                <w:i w:val="0"/>
                <w:iCs w:val="0"/>
                <w:color w:val="auto"/>
                <w:sz w:val="24"/>
                <w:szCs w:val="24"/>
              </w:rPr>
            </w:pPr>
          </w:p>
        </w:tc>
        <w:tc>
          <w:tcPr>
            <w:tcW w:w="281" w:type="pct"/>
            <w:shd w:val="clear" w:color="auto" w:fill="auto"/>
            <w:noWrap/>
            <w:vAlign w:val="bottom"/>
          </w:tcPr>
          <w:p>
            <w:pPr>
              <w:rPr>
                <w:rFonts w:ascii="Calibri" w:cs="Calibri" w:hAnsi="Calibri"/>
                <w:i w:val="0"/>
                <w:iCs w:val="0"/>
                <w:color w:val="auto"/>
                <w:sz w:val="24"/>
                <w:szCs w:val="24"/>
              </w:rPr>
            </w:pPr>
          </w:p>
        </w:tc>
        <w:tc>
          <w:tcPr>
            <w:tcW w:w="143" w:type="pct"/>
            <w:shd w:val="clear" w:color="auto" w:fill="auto"/>
            <w:noWrap/>
            <w:vAlign w:val="bottom"/>
          </w:tcPr>
          <w:p>
            <w:pPr>
              <w:rPr>
                <w:rFonts w:ascii="Calibri" w:cs="Calibri" w:hAnsi="Calibri"/>
                <w:i w:val="0"/>
                <w:iCs w:val="0"/>
                <w:color w:val="auto"/>
                <w:sz w:val="24"/>
                <w:szCs w:val="24"/>
              </w:rPr>
            </w:pPr>
          </w:p>
        </w:tc>
        <w:tc>
          <w:tcPr>
            <w:tcW w:w="143" w:type="pct"/>
            <w:shd w:val="clear" w:color="auto" w:fill="auto"/>
            <w:noWrap/>
            <w:vAlign w:val="bottom"/>
          </w:tcPr>
          <w:p>
            <w:pPr>
              <w:rPr>
                <w:rFonts w:ascii="Calibri" w:cs="Calibri" w:hAnsi="Calibri"/>
                <w:i w:val="0"/>
                <w:iCs w:val="0"/>
                <w:color w:val="auto"/>
                <w:sz w:val="24"/>
                <w:szCs w:val="24"/>
              </w:rPr>
            </w:pPr>
          </w:p>
        </w:tc>
        <w:tc>
          <w:tcPr>
            <w:tcW w:w="143" w:type="pct"/>
            <w:shd w:val="clear" w:color="auto" w:fill="auto"/>
            <w:noWrap/>
            <w:vAlign w:val="bottom"/>
          </w:tcPr>
          <w:p>
            <w:pPr>
              <w:rPr>
                <w:rFonts w:ascii="Calibri" w:cs="Calibri" w:hAnsi="Calibri"/>
                <w:i w:val="0"/>
                <w:iCs w:val="0"/>
                <w:color w:val="auto"/>
                <w:sz w:val="24"/>
                <w:szCs w:val="24"/>
              </w:rPr>
            </w:pPr>
          </w:p>
        </w:tc>
        <w:tc>
          <w:tcPr>
            <w:tcW w:w="315"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批复表2</w:t>
            </w:r>
          </w:p>
        </w:tc>
      </w:tr>
      <w:tr>
        <w:trPr>
          <w:trHeight w:val="705"/>
        </w:trPr>
        <w:tc>
          <w:tcPr>
            <w:tcW w:w="418" w:type="pct"/>
            <w:shd w:val="clear" w:color="auto" w:fill="auto"/>
            <w:noWrap/>
            <w:vAlign w:val="center"/>
          </w:tcPr>
          <w:p>
            <w:pPr>
              <w:jc w:val="center"/>
              <w:rPr>
                <w:rFonts w:ascii="宋体" w:eastAsia="宋体" w:cs="宋体" w:hint="eastAsia"/>
                <w:b/>
                <w:bCs/>
                <w:i w:val="0"/>
                <w:iCs w:val="0"/>
                <w:color w:val="000000"/>
                <w:sz w:val="48"/>
                <w:szCs w:val="48"/>
              </w:rPr>
            </w:pPr>
          </w:p>
        </w:tc>
        <w:tc>
          <w:tcPr>
            <w:tcW w:w="4265" w:type="pct"/>
            <w:gridSpan w:val="17"/>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auto"/>
                <w:sz w:val="48"/>
                <w:szCs w:val="48"/>
              </w:rPr>
            </w:pPr>
            <w:r>
              <w:rPr>
                <w:rFonts w:ascii="宋体" w:eastAsia="宋体" w:cs="宋体" w:hint="eastAsia"/>
                <w:b/>
                <w:bCs/>
                <w:i w:val="0"/>
                <w:iCs w:val="0"/>
                <w:color w:val="000000"/>
                <w:kern w:val="0"/>
                <w:sz w:val="48"/>
                <w:szCs w:val="48"/>
                <w:lang w:val="en-US" w:eastAsia="zh-CN"/>
              </w:rPr>
              <w:t>部门收入总表</w:t>
            </w:r>
          </w:p>
        </w:tc>
        <w:tc>
          <w:tcPr>
            <w:tcW w:w="315" w:type="pct"/>
            <w:shd w:val="clear" w:color="auto" w:fill="auto"/>
            <w:noWrap/>
            <w:vAlign w:val="bottom"/>
          </w:tcPr>
          <w:p>
            <w:pPr>
              <w:rPr>
                <w:rFonts w:ascii="Calibri" w:cs="Calibri" w:hAnsi="Calibri"/>
                <w:i w:val="0"/>
                <w:iCs w:val="0"/>
                <w:color w:val="auto"/>
                <w:sz w:val="24"/>
                <w:szCs w:val="24"/>
              </w:rPr>
            </w:pPr>
          </w:p>
        </w:tc>
      </w:tr>
      <w:tr>
        <w:trPr>
          <w:trHeight w:val="285"/>
        </w:trPr>
        <w:tc>
          <w:tcPr>
            <w:tcW w:w="4540" w:type="pct"/>
            <w:gridSpan w:val="17"/>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单位：吴江海关综合技术服务中心</w:t>
            </w:r>
          </w:p>
        </w:tc>
        <w:tc>
          <w:tcPr>
            <w:tcW w:w="459" w:type="pct"/>
            <w:gridSpan w:val="2"/>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单位：万元</w:t>
            </w:r>
          </w:p>
        </w:tc>
      </w:tr>
      <w:tr>
        <w:trPr>
          <w:trHeight w:val="360"/>
        </w:trPr>
        <w:tc>
          <w:tcPr>
            <w:tcW w:w="418"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单位名称</w:t>
            </w:r>
          </w:p>
        </w:tc>
        <w:tc>
          <w:tcPr>
            <w:tcW w:w="14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合计</w:t>
            </w:r>
          </w:p>
        </w:tc>
        <w:tc>
          <w:tcPr>
            <w:tcW w:w="1840" w:type="pct"/>
            <w:gridSpan w:val="6"/>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上年结转</w:t>
            </w:r>
          </w:p>
        </w:tc>
        <w:tc>
          <w:tcPr>
            <w:tcW w:w="2281" w:type="pct"/>
            <w:gridSpan w:val="10"/>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本年收入</w:t>
            </w:r>
          </w:p>
        </w:tc>
        <w:tc>
          <w:tcPr>
            <w:tcW w:w="315"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使用非财政拨款结余</w:t>
            </w:r>
          </w:p>
        </w:tc>
      </w:tr>
      <w:tr>
        <w:trPr>
          <w:trHeight w:val="360"/>
        </w:trPr>
        <w:tc>
          <w:tcPr>
            <w:tcW w:w="418"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4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26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小计</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一般公共预算结转资金</w:t>
            </w:r>
          </w:p>
        </w:tc>
        <w:tc>
          <w:tcPr>
            <w:tcW w:w="384"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政府性基金预算结转资金</w:t>
            </w:r>
          </w:p>
        </w:tc>
        <w:tc>
          <w:tcPr>
            <w:tcW w:w="418"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国有资本经营预算结转资金</w:t>
            </w:r>
          </w:p>
        </w:tc>
        <w:tc>
          <w:tcPr>
            <w:tcW w:w="28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财政专户管理资金</w:t>
            </w:r>
          </w:p>
        </w:tc>
        <w:tc>
          <w:tcPr>
            <w:tcW w:w="14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其他资金</w:t>
            </w:r>
          </w:p>
        </w:tc>
        <w:tc>
          <w:tcPr>
            <w:tcW w:w="14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小计</w:t>
            </w:r>
          </w:p>
        </w:tc>
        <w:tc>
          <w:tcPr>
            <w:tcW w:w="28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一般公共预算拨款</w:t>
            </w:r>
          </w:p>
        </w:tc>
        <w:tc>
          <w:tcPr>
            <w:tcW w:w="315"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政府性基金预算拨款</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国有资本经营预算拨款</w:t>
            </w:r>
          </w:p>
        </w:tc>
        <w:tc>
          <w:tcPr>
            <w:tcW w:w="476" w:type="pct"/>
            <w:gridSpan w:val="2"/>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事业收入</w:t>
            </w:r>
          </w:p>
        </w:tc>
        <w:tc>
          <w:tcPr>
            <w:tcW w:w="28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事业单位经营收入</w:t>
            </w:r>
          </w:p>
        </w:tc>
        <w:tc>
          <w:tcPr>
            <w:tcW w:w="14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上级补助</w:t>
              <w:br/>
              <w:t>收入</w:t>
            </w:r>
          </w:p>
        </w:tc>
        <w:tc>
          <w:tcPr>
            <w:tcW w:w="14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附属单位</w:t>
              <w:br/>
              <w:t>上缴收入</w:t>
            </w:r>
          </w:p>
        </w:tc>
        <w:tc>
          <w:tcPr>
            <w:tcW w:w="14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其他收入</w:t>
            </w:r>
          </w:p>
        </w:tc>
        <w:tc>
          <w:tcPr>
            <w:tcW w:w="315"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r>
      <w:tr>
        <w:trPr>
          <w:trHeight w:val="540"/>
        </w:trPr>
        <w:tc>
          <w:tcPr>
            <w:tcW w:w="418"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4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26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50"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84"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418"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28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4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4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28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15"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50"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92"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金额</w:t>
            </w:r>
          </w:p>
        </w:tc>
        <w:tc>
          <w:tcPr>
            <w:tcW w:w="384"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其中：财政专户管理资金</w:t>
            </w:r>
          </w:p>
        </w:tc>
        <w:tc>
          <w:tcPr>
            <w:tcW w:w="28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4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4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4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15"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r>
      <w:tr>
        <w:trPr>
          <w:trHeight w:val="675"/>
        </w:trPr>
        <w:tc>
          <w:tcPr>
            <w:tcW w:w="418"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吴江海关综合技术服务中心</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1,428.00</w:t>
            </w:r>
          </w:p>
        </w:tc>
        <w:tc>
          <w:tcPr>
            <w:tcW w:w="26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35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384"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418"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2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1,253.00</w:t>
            </w:r>
          </w:p>
        </w:tc>
        <w:tc>
          <w:tcPr>
            <w:tcW w:w="2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348.00</w:t>
            </w:r>
          </w:p>
        </w:tc>
        <w:tc>
          <w:tcPr>
            <w:tcW w:w="31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35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92"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80.00</w:t>
            </w:r>
          </w:p>
        </w:tc>
        <w:tc>
          <w:tcPr>
            <w:tcW w:w="384"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2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825.00</w:t>
            </w:r>
          </w:p>
        </w:tc>
        <w:tc>
          <w:tcPr>
            <w:tcW w:w="31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175.00</w:t>
            </w:r>
          </w:p>
        </w:tc>
      </w:tr>
      <w:tr>
        <w:trPr>
          <w:trHeight w:val="675"/>
        </w:trPr>
        <w:tc>
          <w:tcPr>
            <w:tcW w:w="418"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16"/>
                <w:szCs w:val="16"/>
              </w:rPr>
            </w:pPr>
            <w:r>
              <w:rPr>
                <w:rFonts w:ascii="宋体" w:eastAsia="宋体" w:cs="宋体" w:hint="eastAsia"/>
                <w:i w:val="0"/>
                <w:iCs w:val="0"/>
                <w:color w:val="000000"/>
                <w:kern w:val="0"/>
                <w:sz w:val="16"/>
                <w:szCs w:val="16"/>
                <w:lang w:val="en-US" w:eastAsia="zh-CN"/>
              </w:rPr>
              <w:t>合计</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000000"/>
                <w:kern w:val="0"/>
                <w:sz w:val="16"/>
                <w:szCs w:val="16"/>
                <w:lang w:val="en-US" w:eastAsia="zh-CN"/>
              </w:rPr>
              <w:t>1,428.00</w:t>
            </w:r>
          </w:p>
        </w:tc>
        <w:tc>
          <w:tcPr>
            <w:tcW w:w="26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35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384"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418"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2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000000"/>
                <w:kern w:val="0"/>
                <w:sz w:val="16"/>
                <w:szCs w:val="16"/>
                <w:lang w:val="en-US" w:eastAsia="zh-CN"/>
              </w:rPr>
              <w:t>1,253.00</w:t>
            </w:r>
          </w:p>
        </w:tc>
        <w:tc>
          <w:tcPr>
            <w:tcW w:w="2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000000"/>
                <w:kern w:val="0"/>
                <w:sz w:val="16"/>
                <w:szCs w:val="16"/>
                <w:lang w:val="en-US" w:eastAsia="zh-CN"/>
              </w:rPr>
              <w:t>348.00</w:t>
            </w:r>
          </w:p>
        </w:tc>
        <w:tc>
          <w:tcPr>
            <w:tcW w:w="31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35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92"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000000"/>
                <w:kern w:val="0"/>
                <w:sz w:val="16"/>
                <w:szCs w:val="16"/>
                <w:lang w:val="en-US" w:eastAsia="zh-CN"/>
              </w:rPr>
              <w:t>80.00</w:t>
            </w:r>
          </w:p>
        </w:tc>
        <w:tc>
          <w:tcPr>
            <w:tcW w:w="384"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2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auto"/>
                <w:kern w:val="0"/>
                <w:sz w:val="16"/>
                <w:szCs w:val="16"/>
                <w:lang w:val="en-US" w:eastAsia="zh-CN"/>
              </w:rPr>
              <w:t>　</w:t>
            </w:r>
          </w:p>
        </w:tc>
        <w:tc>
          <w:tcPr>
            <w:tcW w:w="14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000000"/>
                <w:kern w:val="0"/>
                <w:sz w:val="16"/>
                <w:szCs w:val="16"/>
                <w:lang w:val="en-US" w:eastAsia="zh-CN"/>
              </w:rPr>
              <w:t>825.00</w:t>
            </w:r>
          </w:p>
        </w:tc>
        <w:tc>
          <w:tcPr>
            <w:tcW w:w="31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16"/>
                <w:szCs w:val="16"/>
              </w:rPr>
            </w:pPr>
            <w:r>
              <w:rPr>
                <w:rFonts w:ascii="宋体" w:eastAsia="宋体" w:cs="宋体" w:hint="eastAsia"/>
                <w:i w:val="0"/>
                <w:iCs w:val="0"/>
                <w:color w:val="000000"/>
                <w:kern w:val="0"/>
                <w:sz w:val="16"/>
                <w:szCs w:val="16"/>
                <w:lang w:val="en-US" w:eastAsia="zh-CN"/>
              </w:rPr>
              <w:t>175.00</w:t>
            </w:r>
          </w:p>
        </w:tc>
      </w:tr>
    </w:tbl>
    <w:p>
      <w:pPr>
        <w:jc w:val="left"/>
        <w:rPr>
          <w:rFonts w:ascii="Times New Roman" w:eastAsia="方正仿宋_GBK" w:hAnsi="Times New Roman"/>
          <w:sz w:val="32"/>
          <w:szCs w:val="32"/>
        </w:rPr>
      </w:pPr>
    </w:p>
    <w:p>
      <w:pPr>
        <w:rPr>
          <w:rFonts w:ascii="Times New Roman" w:eastAsia="宋体" w:hAnsi="Times New Roman"/>
          <w:sz w:val="24"/>
        </w:rPr>
      </w:pPr>
      <w:r>
        <w:rPr>
          <w:rFonts w:ascii="Times New Roman" w:eastAsia="宋体" w:hAnsi="Times New Roman"/>
          <w:sz w:val="24"/>
        </w:rPr>
        <w:br w:type="page"/>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83"/>
        <w:gridCol w:w="2724"/>
        <w:gridCol w:w="2398"/>
        <w:gridCol w:w="1845"/>
        <w:gridCol w:w="1794"/>
        <w:gridCol w:w="451"/>
        <w:gridCol w:w="1091"/>
        <w:gridCol w:w="992"/>
        <w:gridCol w:w="1089"/>
      </w:tblGrid>
      <w:tr>
        <w:trPr>
          <w:trHeight w:val="314"/>
        </w:trPr>
        <w:tc>
          <w:tcPr>
            <w:tcW w:w="62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961" w:type="pct"/>
            <w:tcBorders>
              <w:top w:val="nil"/>
              <w:left w:val="nil"/>
              <w:bottom w:val="nil"/>
              <w:right w:val="nil"/>
              <w:tl2br w:val="nil"/>
              <w:tr2bl w:val="nil"/>
            </w:tcBorders>
            <w:noWrap/>
            <w:vAlign w:val="center"/>
          </w:tcPr>
          <w:p>
            <w:pPr>
              <w:rPr>
                <w:rFonts w:ascii="Times New Roman" w:eastAsia="宋体" w:hAnsi="Times New Roman"/>
                <w:sz w:val="24"/>
              </w:rPr>
            </w:pPr>
          </w:p>
        </w:tc>
        <w:tc>
          <w:tcPr>
            <w:tcW w:w="846" w:type="pct"/>
            <w:tcBorders>
              <w:top w:val="nil"/>
              <w:left w:val="nil"/>
              <w:bottom w:val="nil"/>
              <w:right w:val="nil"/>
              <w:tl2br w:val="nil"/>
              <w:tr2bl w:val="nil"/>
            </w:tcBorders>
            <w:noWrap/>
            <w:vAlign w:val="center"/>
          </w:tcPr>
          <w:p>
            <w:pPr>
              <w:rPr>
                <w:rFonts w:ascii="Times New Roman" w:eastAsia="宋体" w:hAnsi="Times New Roman"/>
                <w:sz w:val="24"/>
              </w:rPr>
            </w:pPr>
          </w:p>
        </w:tc>
        <w:tc>
          <w:tcPr>
            <w:tcW w:w="651" w:type="pct"/>
            <w:tcBorders>
              <w:top w:val="nil"/>
              <w:left w:val="nil"/>
              <w:bottom w:val="nil"/>
              <w:right w:val="nil"/>
              <w:tl2br w:val="nil"/>
              <w:tr2bl w:val="nil"/>
            </w:tcBorders>
            <w:noWrap/>
            <w:vAlign w:val="center"/>
          </w:tcPr>
          <w:p>
            <w:pPr>
              <w:rPr>
                <w:rFonts w:ascii="Times New Roman" w:eastAsia="宋体" w:hAnsi="Times New Roman"/>
                <w:sz w:val="24"/>
              </w:rPr>
            </w:pPr>
          </w:p>
        </w:tc>
        <w:tc>
          <w:tcPr>
            <w:tcW w:w="63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541" w:type="pct"/>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350" w:type="pct"/>
            <w:tcBorders>
              <w:top w:val="nil"/>
              <w:left w:val="nil"/>
              <w:bottom w:val="nil"/>
              <w:right w:val="nil"/>
              <w:tl2br w:val="nil"/>
              <w:tr2bl w:val="nil"/>
            </w:tcBorders>
            <w:noWrap/>
            <w:vAlign w:val="center"/>
          </w:tcPr>
          <w:p>
            <w:pPr>
              <w:rPr>
                <w:rFonts w:ascii="Times New Roman" w:eastAsia="宋体" w:hAnsi="Times New Roman"/>
                <w:sz w:val="24"/>
              </w:rPr>
            </w:pPr>
          </w:p>
        </w:tc>
        <w:tc>
          <w:tcPr>
            <w:tcW w:w="384" w:type="pct"/>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批复表3</w:t>
            </w:r>
          </w:p>
        </w:tc>
      </w:tr>
      <w:tr>
        <w:trPr>
          <w:trHeight w:val="614"/>
          <w:gridAfter w:val="2"/>
          <w:wAfter w:w="2081" w:type="dxa"/>
        </w:trPr>
        <w:tc>
          <w:tcPr>
            <w:tcW w:w="4264" w:type="pct"/>
            <w:gridSpan w:val="7"/>
            <w:tcBorders>
              <w:top w:val="nil"/>
              <w:left w:val="nil"/>
              <w:bottom w:val="nil"/>
              <w:right w:val="nil"/>
              <w:tl2br w:val="nil"/>
              <w:tr2bl w:val="nil"/>
            </w:tcBorders>
            <w:noWrap/>
            <w:vAlign w:val="center"/>
          </w:tcPr>
          <w:p>
            <w:pPr>
              <w:jc w:val="center"/>
              <w:rPr>
                <w:rFonts w:ascii="宋体" w:eastAsia="宋体" w:cs="宋体"/>
                <w:b/>
                <w:i w:val="0"/>
                <w:color w:val="000000"/>
                <w:sz w:val="48"/>
              </w:rPr>
            </w:pPr>
            <w:r>
              <w:rPr>
                <w:rFonts w:ascii="宋体" w:eastAsia="宋体" w:cs="宋体"/>
                <w:b/>
                <w:i w:val="0"/>
                <w:color w:val="000000"/>
                <w:sz w:val="48"/>
              </w:rPr>
              <w:t>部门支出总表</w:t>
            </w:r>
          </w:p>
        </w:tc>
      </w:tr>
      <w:tr>
        <w:trPr>
          <w:trHeight w:val="314"/>
          <w:gridAfter w:val="2"/>
          <w:wAfter w:w="2081" w:type="dxa"/>
        </w:trPr>
        <w:tc>
          <w:tcPr>
            <w:tcW w:w="3879" w:type="pct"/>
            <w:gridSpan w:val="6"/>
            <w:tcBorders>
              <w:top w:val="nil"/>
              <w:left w:val="nil"/>
              <w:bottom w:val="nil"/>
              <w:right w:val="nil"/>
              <w:tl2br w:val="nil"/>
              <w:tr2bl w:val="nil"/>
            </w:tcBorders>
            <w:noWrap/>
            <w:vAlign w:val="center"/>
          </w:tcPr>
          <w:p>
            <w:pPr>
              <w:rPr>
                <w:rFonts w:ascii="宋体" w:eastAsia="宋体" w:cs="宋体"/>
                <w:color w:val="000000"/>
                <w:sz w:val="16"/>
              </w:rPr>
            </w:pPr>
            <w:r>
              <w:rPr>
                <w:rFonts w:ascii="宋体" w:eastAsia="宋体" w:cs="宋体"/>
                <w:color w:val="000000"/>
                <w:sz w:val="16"/>
              </w:rPr>
              <w:t>单位：吴江海关综合技术服务中心</w:t>
            </w:r>
          </w:p>
        </w:tc>
        <w:tc>
          <w:tcPr>
            <w:tcW w:w="384" w:type="pct"/>
            <w:tcBorders>
              <w:top w:val="nil"/>
              <w:left w:val="nil"/>
              <w:bottom w:val="nil"/>
              <w:right w:val="nil"/>
              <w:tl2br w:val="nil"/>
              <w:tr2bl w:val="nil"/>
            </w:tcBorders>
            <w:noWrap/>
            <w:vAlign w:val="center"/>
          </w:tcPr>
          <w:p>
            <w:pPr>
              <w:jc w:val="right"/>
              <w:rPr>
                <w:rFonts w:ascii="宋体" w:eastAsia="宋体" w:cs="宋体"/>
                <w:color w:val="000000"/>
                <w:sz w:val="16"/>
              </w:rPr>
            </w:pPr>
            <w:r>
              <w:rPr>
                <w:rFonts w:ascii="宋体" w:eastAsia="宋体" w:cs="宋体"/>
                <w:color w:val="000000"/>
                <w:sz w:val="16"/>
              </w:rPr>
              <w:t>单位：万元</w:t>
            </w:r>
          </w:p>
        </w:tc>
      </w:tr>
      <w:tr>
        <w:trPr>
          <w:trHeight w:val="374"/>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科目代码</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科目名称</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合计</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基本支出</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项目支出</w:t>
            </w: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上缴上级支出</w:t>
            </w: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事业单位经营支出</w:t>
            </w: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对附属单位补助支出</w:t>
            </w: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201</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一般公共服务支出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1,034.00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1,012.00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22.00</w:t>
            </w: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海关事务</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1,034.00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1,012.00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22.00</w:t>
            </w: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2010909</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海关关务</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w:t>
            </w: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2010912</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检验检疫</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19.00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19.00</w:t>
            </w: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2010950</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事业运行</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1,012.00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1,012.00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208</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社会保障和就业支出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行政事业单位养老支出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2080502</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事业单位离退休</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2080505</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机关事业单位基本养老保险缴费支出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80.00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80.00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2080506</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机关事业单位职业年金缴费支出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210</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卫生健康支出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34.00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34.00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行政事业单位医疗</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34.00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34.00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2101102</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事业单位医疗</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2101199</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其他行政事业单位医疗支出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221</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住房保障支出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230.00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230.00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住房改革支出</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230.00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230.00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2210201</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住房公积金</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80.00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80.00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2210203</w:t>
            </w: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购房补贴</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150.00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150.00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6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i w:val="0"/>
                <w:sz w:val="16"/>
              </w:rPr>
            </w:pPr>
          </w:p>
        </w:tc>
        <w:tc>
          <w:tcPr>
            <w:tcW w:w="9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b/>
                <w:i w:val="0"/>
                <w:sz w:val="16"/>
              </w:rPr>
            </w:pPr>
            <w:r>
              <w:rPr>
                <w:rFonts w:ascii="宋体" w:eastAsia="宋体" w:cs="宋体"/>
                <w:b/>
                <w:i w:val="0"/>
                <w:sz w:val="16"/>
              </w:rPr>
              <w:t>合        计</w:t>
            </w:r>
          </w:p>
        </w:tc>
        <w:tc>
          <w:tcPr>
            <w:tcW w:w="84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1,428.00</w:t>
            </w:r>
          </w:p>
        </w:tc>
        <w:tc>
          <w:tcPr>
            <w:tcW w:w="6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1,406.00</w:t>
            </w:r>
          </w:p>
        </w:tc>
        <w:tc>
          <w:tcPr>
            <w:tcW w:w="63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22.00</w:t>
            </w:r>
          </w:p>
        </w:tc>
        <w:tc>
          <w:tcPr>
            <w:tcW w:w="54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c>
          <w:tcPr>
            <w:tcW w:w="3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c>
          <w:tcPr>
            <w:tcW w:w="38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r>
    </w:tbl>
    <w:p>
      <w:pPr>
        <w:rPr>
          <w:rFonts w:ascii="Times New Roman" w:eastAsia="宋体" w:hAnsi="Times New Roman"/>
          <w:sz w:val="24"/>
        </w:rPr>
      </w:pPr>
      <w:r>
        <w:rPr>
          <w:rFonts w:ascii="Times New Roman" w:eastAsia="宋体" w:hAnsi="Times New Roman"/>
          <w:sz w:val="24"/>
        </w:rPr>
        <w:br w:type="page"/>
      </w:r>
    </w:p>
    <w:tbl>
      <w:tblPr>
        <w:jc w:val="lef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69"/>
        <w:gridCol w:w="3531"/>
        <w:gridCol w:w="3481"/>
        <w:gridCol w:w="2146"/>
      </w:tblGrid>
      <w:tr>
        <w:trPr>
          <w:trHeight w:val="329"/>
        </w:trPr>
        <w:tc>
          <w:tcPr>
            <w:tcW w:w="296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531"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481"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146" w:type="dxa"/>
            <w:tcBorders>
              <w:top w:val="nil"/>
              <w:left w:val="nil"/>
              <w:bottom w:val="nil"/>
              <w:right w:val="nil"/>
              <w:tl2br w:val="nil"/>
              <w:tr2bl w:val="nil"/>
            </w:tcBorders>
            <w:noWrap/>
            <w:vAlign w:val="center"/>
          </w:tcPr>
          <w:p>
            <w:pPr>
              <w:jc w:val="right"/>
              <w:rPr>
                <w:rFonts w:ascii="宋体" w:eastAsia="宋体" w:cs="宋体"/>
                <w:color w:val="000000"/>
                <w:sz w:val="20"/>
              </w:rPr>
            </w:pPr>
          </w:p>
        </w:tc>
      </w:tr>
      <w:tr>
        <w:trPr>
          <w:trHeight w:val="329"/>
        </w:trPr>
        <w:tc>
          <w:tcPr>
            <w:tcW w:w="296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531"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481"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146" w:type="dxa"/>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批复表4</w:t>
            </w:r>
          </w:p>
        </w:tc>
      </w:tr>
      <w:tr>
        <w:trPr>
          <w:trHeight w:val="659"/>
        </w:trPr>
        <w:tc>
          <w:tcPr>
            <w:tcW w:w="12127" w:type="dxa"/>
            <w:gridSpan w:val="4"/>
            <w:tcBorders>
              <w:top w:val="nil"/>
              <w:left w:val="nil"/>
              <w:bottom w:val="nil"/>
              <w:right w:val="nil"/>
              <w:tl2br w:val="nil"/>
              <w:tr2bl w:val="nil"/>
            </w:tcBorders>
            <w:noWrap/>
            <w:vAlign w:val="center"/>
          </w:tcPr>
          <w:p>
            <w:pPr>
              <w:jc w:val="center"/>
              <w:rPr>
                <w:rFonts w:ascii="宋体" w:eastAsia="宋体" w:cs="宋体"/>
                <w:b/>
                <w:i w:val="0"/>
                <w:color w:val="000000"/>
                <w:sz w:val="48"/>
              </w:rPr>
            </w:pPr>
            <w:r>
              <w:rPr>
                <w:rFonts w:ascii="宋体" w:eastAsia="宋体" w:cs="宋体"/>
                <w:b/>
                <w:i w:val="0"/>
                <w:color w:val="000000"/>
                <w:sz w:val="48"/>
              </w:rPr>
              <w:t>财政拨款收支总表</w:t>
            </w:r>
          </w:p>
        </w:tc>
      </w:tr>
      <w:tr>
        <w:trPr>
          <w:trHeight w:val="299"/>
        </w:trPr>
        <w:tc>
          <w:tcPr>
            <w:tcW w:w="9981" w:type="dxa"/>
            <w:gridSpan w:val="3"/>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单位：吴江海关综合技术服务中心</w:t>
            </w:r>
          </w:p>
        </w:tc>
        <w:tc>
          <w:tcPr>
            <w:tcW w:w="2146" w:type="dxa"/>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单位：万元</w:t>
            </w:r>
          </w:p>
        </w:tc>
      </w:tr>
      <w:tr>
        <w:trPr>
          <w:trHeight w:val="374"/>
        </w:trPr>
        <w:tc>
          <w:tcPr>
            <w:tcW w:w="65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收      入</w:t>
            </w:r>
          </w:p>
        </w:tc>
        <w:tc>
          <w:tcPr>
            <w:tcW w:w="562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支      出</w:t>
            </w: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    目</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    目</w:t>
            </w: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一、本年收入</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348.00</w:t>
            </w: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一、本年支出</w:t>
            </w: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348.00</w:t>
            </w: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（一）一般公共预算拨款</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348.00</w:t>
            </w: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（一）一般公共服务支出</w:t>
            </w: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258.00</w:t>
            </w: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（二）政府性基金预算拨款</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（二）住房保障支出</w:t>
            </w: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90.00</w:t>
            </w: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（三）国有资本经营预算拨款</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二、上年结转</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（一）一般公共预算拨款</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（二）政府性基金预算拨款</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（三）国有资本经营预算拨款</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 xml:space="preserve">     收    入    总    计</w:t>
            </w: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348.00</w:t>
            </w: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 xml:space="preserve">     支    出    总    计</w:t>
            </w: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348.00</w:t>
            </w:r>
          </w:p>
        </w:tc>
      </w:tr>
      <w:tr>
        <w:trPr>
          <w:trHeight w:val="374"/>
        </w:trPr>
        <w:tc>
          <w:tcPr>
            <w:tcW w:w="29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p>
        </w:tc>
        <w:tc>
          <w:tcPr>
            <w:tcW w:w="35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34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p>
        </w:tc>
        <w:tc>
          <w:tcPr>
            <w:tcW w:w="21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bl>
    <w:p>
      <w:pPr>
        <w:rPr>
          <w:rFonts w:ascii="Times New Roman" w:eastAsia="方正仿宋_GBK" w:hAnsi="Times New Roman"/>
          <w:sz w:val="32"/>
          <w:szCs w:val="32"/>
        </w:rPr>
      </w:pPr>
    </w:p>
    <w:p>
      <w:pPr>
        <w:rPr>
          <w:rFonts w:ascii="Times New Roman" w:eastAsia="方正仿宋_GBK" w:hAnsi="Times New Roman"/>
          <w:sz w:val="32"/>
          <w:szCs w:val="32"/>
        </w:rPr>
      </w:pPr>
    </w:p>
    <w:p>
      <w:pPr>
        <w:rPr>
          <w:rFonts w:ascii="Times New Roman" w:eastAsia="方正仿宋_GBK" w:hAnsi="Times New Roman"/>
          <w:sz w:val="32"/>
          <w:szCs w:val="32"/>
        </w:rPr>
      </w:pP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
      <w:tblGrid>
        <w:gridCol w:w="3303"/>
        <w:gridCol w:w="3807"/>
        <w:gridCol w:w="1063"/>
        <w:gridCol w:w="1063"/>
        <w:gridCol w:w="1387"/>
        <w:gridCol w:w="1393"/>
        <w:gridCol w:w="1969"/>
      </w:tblGrid>
      <w:tr>
        <w:trPr>
          <w:trHeight w:val="345"/>
        </w:trPr>
        <w:tc>
          <w:tcPr>
            <w:tcW w:w="1181" w:type="pct"/>
            <w:shd w:val="clear" w:color="auto" w:fill="auto"/>
            <w:noWrap/>
            <w:vAlign w:val="bottom"/>
          </w:tcPr>
          <w:p>
            <w:pPr>
              <w:rPr>
                <w:rFonts w:ascii="Calibri" w:cs="Calibri" w:hAnsi="Calibri" w:hint="eastAsia"/>
                <w:i w:val="0"/>
                <w:iCs w:val="0"/>
                <w:color w:val="auto"/>
                <w:sz w:val="24"/>
                <w:szCs w:val="24"/>
              </w:rPr>
            </w:pPr>
          </w:p>
        </w:tc>
        <w:tc>
          <w:tcPr>
            <w:tcW w:w="1361" w:type="pct"/>
            <w:shd w:val="clear" w:color="auto" w:fill="auto"/>
            <w:noWrap/>
            <w:vAlign w:val="bottom"/>
          </w:tcPr>
          <w:p>
            <w:pPr>
              <w:rPr>
                <w:rFonts w:ascii="Calibri" w:cs="Calibri" w:hAnsi="Calibri"/>
                <w:i w:val="0"/>
                <w:iCs w:val="0"/>
                <w:color w:val="auto"/>
                <w:sz w:val="24"/>
                <w:szCs w:val="24"/>
              </w:rPr>
            </w:pPr>
          </w:p>
        </w:tc>
        <w:tc>
          <w:tcPr>
            <w:tcW w:w="380" w:type="pct"/>
            <w:shd w:val="clear" w:color="auto" w:fill="auto"/>
            <w:noWrap/>
            <w:vAlign w:val="bottom"/>
          </w:tcPr>
          <w:p>
            <w:pPr>
              <w:rPr>
                <w:rFonts w:ascii="Calibri" w:cs="Calibri" w:hAnsi="Calibri"/>
                <w:i w:val="0"/>
                <w:iCs w:val="0"/>
                <w:color w:val="auto"/>
                <w:sz w:val="24"/>
                <w:szCs w:val="24"/>
              </w:rPr>
            </w:pPr>
          </w:p>
        </w:tc>
        <w:tc>
          <w:tcPr>
            <w:tcW w:w="380" w:type="pct"/>
            <w:shd w:val="clear" w:color="auto" w:fill="auto"/>
            <w:noWrap/>
            <w:vAlign w:val="bottom"/>
          </w:tcPr>
          <w:p>
            <w:pPr>
              <w:rPr>
                <w:rFonts w:ascii="Calibri" w:cs="Calibri" w:hAnsi="Calibri"/>
                <w:i w:val="0"/>
                <w:iCs w:val="0"/>
                <w:color w:val="auto"/>
                <w:sz w:val="24"/>
                <w:szCs w:val="24"/>
              </w:rPr>
            </w:pPr>
          </w:p>
        </w:tc>
        <w:tc>
          <w:tcPr>
            <w:tcW w:w="496" w:type="pct"/>
            <w:shd w:val="clear" w:color="auto" w:fill="auto"/>
            <w:noWrap/>
            <w:vAlign w:val="bottom"/>
          </w:tcPr>
          <w:p>
            <w:pPr>
              <w:rPr>
                <w:rFonts w:ascii="Calibri" w:cs="Calibri" w:hAnsi="Calibri"/>
                <w:i w:val="0"/>
                <w:iCs w:val="0"/>
                <w:color w:val="auto"/>
                <w:sz w:val="24"/>
                <w:szCs w:val="24"/>
              </w:rPr>
            </w:pPr>
          </w:p>
        </w:tc>
        <w:tc>
          <w:tcPr>
            <w:tcW w:w="496" w:type="pct"/>
            <w:shd w:val="clear" w:color="auto" w:fill="auto"/>
            <w:noWrap/>
            <w:vAlign w:val="bottom"/>
          </w:tcPr>
          <w:p>
            <w:pPr>
              <w:rPr>
                <w:rFonts w:ascii="Calibri" w:cs="Calibri" w:hAnsi="Calibri"/>
                <w:i w:val="0"/>
                <w:iCs w:val="0"/>
                <w:color w:val="auto"/>
                <w:sz w:val="24"/>
                <w:szCs w:val="24"/>
              </w:rPr>
            </w:pPr>
          </w:p>
        </w:tc>
        <w:tc>
          <w:tcPr>
            <w:tcW w:w="703"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批复表5</w:t>
            </w:r>
          </w:p>
        </w:tc>
      </w:tr>
      <w:tr>
        <w:trPr>
          <w:trHeight w:val="555"/>
        </w:trPr>
        <w:tc>
          <w:tcPr>
            <w:tcW w:w="5000" w:type="pct"/>
            <w:gridSpan w:val="7"/>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000000"/>
                <w:sz w:val="48"/>
                <w:szCs w:val="48"/>
              </w:rPr>
            </w:pPr>
            <w:r>
              <w:rPr>
                <w:rFonts w:ascii="宋体" w:eastAsia="宋体" w:cs="宋体" w:hint="eastAsia"/>
                <w:b/>
                <w:bCs/>
                <w:i w:val="0"/>
                <w:iCs w:val="0"/>
                <w:color w:val="000000"/>
                <w:kern w:val="0"/>
                <w:sz w:val="48"/>
                <w:szCs w:val="48"/>
                <w:lang w:val="en-US" w:eastAsia="zh-CN"/>
              </w:rPr>
              <w:t>一般公共预算支出表</w:t>
            </w:r>
          </w:p>
        </w:tc>
      </w:tr>
      <w:tr>
        <w:trPr>
          <w:trHeight w:val="330"/>
        </w:trPr>
        <w:tc>
          <w:tcPr>
            <w:tcW w:w="4296" w:type="pct"/>
            <w:gridSpan w:val="6"/>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单位：吴江海关综合技术服务中心</w:t>
            </w:r>
          </w:p>
        </w:tc>
        <w:tc>
          <w:tcPr>
            <w:tcW w:w="703"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单位：万元</w:t>
            </w:r>
          </w:p>
        </w:tc>
      </w:tr>
      <w:tr>
        <w:trPr>
          <w:trHeight w:val="480"/>
        </w:trPr>
        <w:tc>
          <w:tcPr>
            <w:tcW w:w="118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科目代码</w:t>
            </w:r>
          </w:p>
        </w:tc>
        <w:tc>
          <w:tcPr>
            <w:tcW w:w="136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科目名称</w:t>
            </w:r>
          </w:p>
        </w:tc>
        <w:tc>
          <w:tcPr>
            <w:tcW w:w="2457" w:type="pct"/>
            <w:gridSpan w:val="5"/>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本年一般公共预算支出</w:t>
            </w:r>
          </w:p>
        </w:tc>
      </w:tr>
      <w:tr>
        <w:trPr>
          <w:trHeight w:val="420"/>
        </w:trPr>
        <w:tc>
          <w:tcPr>
            <w:tcW w:w="118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36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80"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合计</w:t>
            </w:r>
          </w:p>
        </w:tc>
        <w:tc>
          <w:tcPr>
            <w:tcW w:w="1373" w:type="pct"/>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基本支出</w:t>
            </w:r>
          </w:p>
        </w:tc>
        <w:tc>
          <w:tcPr>
            <w:tcW w:w="70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项目支出</w:t>
            </w:r>
          </w:p>
        </w:tc>
      </w:tr>
      <w:tr>
        <w:trPr>
          <w:trHeight w:val="480"/>
        </w:trPr>
        <w:tc>
          <w:tcPr>
            <w:tcW w:w="118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36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80"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小计</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人员经费</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公用经费</w:t>
            </w:r>
          </w:p>
        </w:tc>
        <w:tc>
          <w:tcPr>
            <w:tcW w:w="70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201</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一般公共服务支出</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258.00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236.00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161.00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75.00</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22.00</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tcMar>
              <w:left w:w="420" w:type="dxa"/>
            </w:tcMar>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20109</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tcMar>
              <w:left w:w="420" w:type="dxa"/>
            </w:tcMar>
            <w:vAlign w:val="center"/>
          </w:tcPr>
          <w:p>
            <w:pPr>
              <w:keepNext w:val="0"/>
              <w:keepLines w:val="0"/>
              <w:widowControl/>
              <w:suppressLineNumbers w:val="0"/>
              <w:ind w:firstLineChars="100" w:firstLine="20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海关事务</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258.00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236.00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161.00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75.00</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22.00</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2010909</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海关关务</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3.00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3.00</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2010912</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检验检疫</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19.00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19.00</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2010950</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事业运行</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236.00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236.00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161.00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75.00</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221</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住房保障支出</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90.00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90.00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90.00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tcMar>
              <w:left w:w="420" w:type="dxa"/>
            </w:tcMar>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22102</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tcMar>
              <w:left w:w="420" w:type="dxa"/>
            </w:tcMar>
            <w:vAlign w:val="center"/>
          </w:tcPr>
          <w:p>
            <w:pPr>
              <w:keepNext w:val="0"/>
              <w:keepLines w:val="0"/>
              <w:widowControl/>
              <w:suppressLineNumbers w:val="0"/>
              <w:ind w:firstLineChars="100" w:firstLine="20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住房改革支出</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90.00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90.00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90.00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2210201</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住房公积金</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2210203</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tcMar>
              <w:left w:w="840" w:type="dxa"/>
            </w:tcMar>
            <w:vAlign w:val="center"/>
          </w:tcPr>
          <w:p>
            <w:pPr>
              <w:keepNext w:val="0"/>
              <w:keepLines w:val="0"/>
              <w:widowControl/>
              <w:suppressLineNumbers w:val="0"/>
              <w:ind w:firstLineChars="200" w:firstLine="400"/>
              <w:jc w:val="left"/>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购房补贴</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70.00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70.00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000000"/>
                <w:kern w:val="0"/>
                <w:sz w:val="20"/>
                <w:szCs w:val="20"/>
                <w:lang w:val="en-US" w:eastAsia="zh-CN"/>
              </w:rPr>
              <w:t>70.00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118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c>
          <w:tcPr>
            <w:tcW w:w="1361" w:type="pct"/>
            <w:tcBorders>
              <w:top w:val="single" w:sz="6" w:space="0" w:color="000000"/>
              <w:left w:val="single" w:sz="6" w:space="0" w:color="000000"/>
              <w:bottom w:val="single" w:sz="6" w:space="0" w:color="000000"/>
              <w:right w:val="single" w:sz="6" w:space="0" w:color="000000"/>
            </w:tcBorders>
            <w:shd w:val="clear" w:color="auto" w:fill="auto"/>
            <w:noWrap/>
            <w:vAlign w:val="bottom"/>
          </w:tcPr>
          <w:p>
            <w:pPr>
              <w:keepNext w:val="0"/>
              <w:keepLines w:val="0"/>
              <w:widowControl/>
              <w:suppressLineNumbers w:val="0"/>
              <w:jc w:val="center"/>
              <w:textAlignment w:val="bottom"/>
              <w:rPr>
                <w:rFonts w:ascii="Calibri" w:cs="Calibri" w:hAnsi="Calibri"/>
                <w:b/>
                <w:bCs/>
                <w:i w:val="0"/>
                <w:iCs w:val="0"/>
                <w:color w:val="auto"/>
                <w:sz w:val="20"/>
                <w:szCs w:val="20"/>
              </w:rPr>
            </w:pPr>
            <w:r>
              <w:rPr>
                <w:rFonts w:ascii="Calibri" w:eastAsia="宋体" w:cs="Calibri" w:hAnsi="Calibri"/>
                <w:b/>
                <w:bCs/>
                <w:i w:val="0"/>
                <w:iCs w:val="0"/>
                <w:color w:val="000000"/>
                <w:kern w:val="0"/>
                <w:sz w:val="20"/>
                <w:szCs w:val="20"/>
                <w:lang w:val="en-US" w:eastAsia="zh-CN"/>
              </w:rPr>
              <w:t>合               计</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000000"/>
                <w:kern w:val="0"/>
                <w:sz w:val="20"/>
                <w:szCs w:val="20"/>
                <w:lang w:val="en-US" w:eastAsia="zh-CN"/>
              </w:rPr>
              <w:t>348.00</w:t>
            </w:r>
          </w:p>
        </w:tc>
        <w:tc>
          <w:tcPr>
            <w:tcW w:w="380"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000000"/>
                <w:kern w:val="0"/>
                <w:sz w:val="20"/>
                <w:szCs w:val="20"/>
                <w:lang w:val="en-US" w:eastAsia="zh-CN"/>
              </w:rPr>
              <w:t>326.00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000000"/>
                <w:kern w:val="0"/>
                <w:sz w:val="20"/>
                <w:szCs w:val="20"/>
                <w:lang w:val="en-US" w:eastAsia="zh-CN"/>
              </w:rPr>
              <w:t>251.00</w:t>
            </w:r>
          </w:p>
        </w:tc>
        <w:tc>
          <w:tcPr>
            <w:tcW w:w="49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000000"/>
                <w:kern w:val="0"/>
                <w:sz w:val="20"/>
                <w:szCs w:val="20"/>
                <w:lang w:val="en-US" w:eastAsia="zh-CN"/>
              </w:rPr>
              <w:t>75.00</w:t>
            </w:r>
          </w:p>
        </w:tc>
        <w:tc>
          <w:tcPr>
            <w:tcW w:w="70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000000"/>
                <w:kern w:val="0"/>
                <w:sz w:val="20"/>
                <w:szCs w:val="20"/>
                <w:lang w:val="en-US" w:eastAsia="zh-CN"/>
              </w:rPr>
              <w:t>22.00</w:t>
            </w:r>
          </w:p>
        </w:tc>
      </w:tr>
    </w:tbl>
    <w:p>
      <w:pPr>
        <w:rPr>
          <w:rFonts w:ascii="Times New Roman" w:eastAsia="方正仿宋_GBK" w:hAnsi="Times New Roman"/>
          <w:sz w:val="32"/>
          <w:szCs w:val="32"/>
        </w:rPr>
      </w:pPr>
    </w:p>
    <w:p>
      <w:pPr>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
      <w:tblGrid>
        <w:gridCol w:w="2100"/>
        <w:gridCol w:w="2156"/>
        <w:gridCol w:w="1944"/>
        <w:gridCol w:w="1944"/>
        <w:gridCol w:w="1944"/>
        <w:gridCol w:w="1949"/>
        <w:gridCol w:w="1946"/>
      </w:tblGrid>
      <w:tr>
        <w:trPr>
          <w:trHeight w:val="405"/>
        </w:trPr>
        <w:tc>
          <w:tcPr>
            <w:tcW w:w="751"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71"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批复表6</w:t>
            </w:r>
          </w:p>
        </w:tc>
      </w:tr>
      <w:tr>
        <w:trPr>
          <w:trHeight w:val="660"/>
        </w:trPr>
        <w:tc>
          <w:tcPr>
            <w:tcW w:w="5000" w:type="pct"/>
            <w:gridSpan w:val="7"/>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000000"/>
                <w:sz w:val="48"/>
                <w:szCs w:val="48"/>
              </w:rPr>
            </w:pPr>
            <w:r>
              <w:rPr>
                <w:rFonts w:ascii="宋体" w:eastAsia="宋体" w:cs="宋体" w:hint="eastAsia"/>
                <w:b/>
                <w:bCs/>
                <w:i w:val="0"/>
                <w:iCs w:val="0"/>
                <w:color w:val="000000"/>
                <w:kern w:val="0"/>
                <w:sz w:val="48"/>
                <w:szCs w:val="48"/>
                <w:lang w:val="en-US" w:eastAsia="zh-CN"/>
              </w:rPr>
              <w:t>政府性基金预算支出表</w:t>
            </w:r>
          </w:p>
        </w:tc>
      </w:tr>
      <w:tr>
        <w:trPr>
          <w:trHeight w:val="315"/>
        </w:trPr>
        <w:tc>
          <w:tcPr>
            <w:tcW w:w="4304" w:type="pct"/>
            <w:gridSpan w:val="6"/>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单位：吴江海关综合技术服务中心</w:t>
            </w:r>
          </w:p>
        </w:tc>
        <w:tc>
          <w:tcPr>
            <w:tcW w:w="695"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单位：万元</w:t>
            </w:r>
          </w:p>
        </w:tc>
      </w:tr>
      <w:tr>
        <w:trPr>
          <w:trHeight w:val="465"/>
        </w:trPr>
        <w:tc>
          <w:tcPr>
            <w:tcW w:w="75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科目代码</w:t>
            </w:r>
          </w:p>
        </w:tc>
        <w:tc>
          <w:tcPr>
            <w:tcW w:w="77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科目名称</w:t>
            </w:r>
          </w:p>
        </w:tc>
        <w:tc>
          <w:tcPr>
            <w:tcW w:w="3477" w:type="pct"/>
            <w:gridSpan w:val="5"/>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本年政府性基金预算支出</w:t>
            </w:r>
          </w:p>
        </w:tc>
      </w:tr>
      <w:tr>
        <w:trPr>
          <w:trHeight w:val="420"/>
        </w:trPr>
        <w:tc>
          <w:tcPr>
            <w:tcW w:w="75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77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695"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合计</w:t>
            </w:r>
          </w:p>
        </w:tc>
        <w:tc>
          <w:tcPr>
            <w:tcW w:w="2086" w:type="pct"/>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基本支出</w:t>
            </w:r>
          </w:p>
        </w:tc>
        <w:tc>
          <w:tcPr>
            <w:tcW w:w="695"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项目支出</w:t>
            </w:r>
          </w:p>
        </w:tc>
      </w:tr>
      <w:tr>
        <w:trPr>
          <w:trHeight w:val="420"/>
        </w:trPr>
        <w:tc>
          <w:tcPr>
            <w:tcW w:w="75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77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695"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小计</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人员经费</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公用经费</w:t>
            </w:r>
          </w:p>
        </w:tc>
        <w:tc>
          <w:tcPr>
            <w:tcW w:w="695"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r>
      <w:tr>
        <w:trPr>
          <w:trHeight w:val="375"/>
        </w:trPr>
        <w:tc>
          <w:tcPr>
            <w:tcW w:w="75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75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75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75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375"/>
        </w:trPr>
        <w:tc>
          <w:tcPr>
            <w:tcW w:w="75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auto"/>
                <w:sz w:val="20"/>
                <w:szCs w:val="20"/>
              </w:rPr>
            </w:pPr>
            <w:r>
              <w:rPr>
                <w:rFonts w:ascii="宋体" w:eastAsia="宋体" w:cs="宋体" w:hint="eastAsia"/>
                <w:b/>
                <w:bCs/>
                <w:i w:val="0"/>
                <w:iCs w:val="0"/>
                <w:color w:val="000000"/>
                <w:kern w:val="0"/>
                <w:sz w:val="20"/>
                <w:szCs w:val="20"/>
                <w:lang w:val="en-US" w:eastAsia="zh-CN"/>
              </w:rPr>
              <w:t>合        计</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c>
          <w:tcPr>
            <w:tcW w:w="69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r>
    </w:tbl>
    <w:p>
      <w:pPr>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
      <w:tblGrid>
        <w:gridCol w:w="1188"/>
        <w:gridCol w:w="2844"/>
        <w:gridCol w:w="1988"/>
        <w:gridCol w:w="1988"/>
        <w:gridCol w:w="1988"/>
        <w:gridCol w:w="1994"/>
        <w:gridCol w:w="1991"/>
      </w:tblGrid>
      <w:tr>
        <w:trPr>
          <w:trHeight w:val="405"/>
        </w:trPr>
        <w:tc>
          <w:tcPr>
            <w:tcW w:w="425"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1017"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批复表7</w:t>
            </w:r>
          </w:p>
        </w:tc>
      </w:tr>
      <w:tr>
        <w:trPr>
          <w:trHeight w:val="660"/>
        </w:trPr>
        <w:tc>
          <w:tcPr>
            <w:tcW w:w="5000" w:type="pct"/>
            <w:gridSpan w:val="7"/>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000000"/>
                <w:sz w:val="48"/>
                <w:szCs w:val="48"/>
              </w:rPr>
            </w:pPr>
            <w:r>
              <w:rPr>
                <w:rFonts w:ascii="宋体" w:eastAsia="宋体" w:cs="宋体" w:hint="eastAsia"/>
                <w:b/>
                <w:bCs/>
                <w:i w:val="0"/>
                <w:iCs w:val="0"/>
                <w:color w:val="000000"/>
                <w:kern w:val="0"/>
                <w:sz w:val="48"/>
                <w:szCs w:val="48"/>
                <w:lang w:val="en-US" w:eastAsia="zh-CN"/>
              </w:rPr>
              <w:t>国有资本经营预算支出表</w:t>
            </w:r>
          </w:p>
        </w:tc>
      </w:tr>
      <w:tr>
        <w:trPr>
          <w:trHeight w:val="315"/>
        </w:trPr>
        <w:tc>
          <w:tcPr>
            <w:tcW w:w="4288" w:type="pct"/>
            <w:gridSpan w:val="6"/>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单位：吴江海关综合技术服务中心</w:t>
            </w:r>
          </w:p>
        </w:tc>
        <w:tc>
          <w:tcPr>
            <w:tcW w:w="711"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单位：万元</w:t>
            </w:r>
          </w:p>
        </w:tc>
      </w:tr>
      <w:tr>
        <w:trPr>
          <w:trHeight w:val="465"/>
        </w:trPr>
        <w:tc>
          <w:tcPr>
            <w:tcW w:w="425"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科目代码</w:t>
            </w:r>
          </w:p>
        </w:tc>
        <w:tc>
          <w:tcPr>
            <w:tcW w:w="1017"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科目名称</w:t>
            </w:r>
          </w:p>
        </w:tc>
        <w:tc>
          <w:tcPr>
            <w:tcW w:w="3557" w:type="pct"/>
            <w:gridSpan w:val="5"/>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本年国有资本经营预算支出</w:t>
            </w:r>
          </w:p>
        </w:tc>
      </w:tr>
      <w:tr>
        <w:trPr>
          <w:trHeight w:val="375"/>
        </w:trPr>
        <w:tc>
          <w:tcPr>
            <w:tcW w:w="425"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017"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71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合计</w:t>
            </w:r>
          </w:p>
        </w:tc>
        <w:tc>
          <w:tcPr>
            <w:tcW w:w="2134" w:type="pct"/>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基本支出</w:t>
            </w:r>
          </w:p>
        </w:tc>
        <w:tc>
          <w:tcPr>
            <w:tcW w:w="711"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项目支出</w:t>
            </w:r>
          </w:p>
        </w:tc>
      </w:tr>
      <w:tr>
        <w:trPr>
          <w:trHeight w:val="420"/>
        </w:trPr>
        <w:tc>
          <w:tcPr>
            <w:tcW w:w="425"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017"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71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小计</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auto"/>
                <w:sz w:val="20"/>
                <w:szCs w:val="20"/>
              </w:rPr>
            </w:pPr>
            <w:r>
              <w:rPr>
                <w:rFonts w:ascii="宋体" w:eastAsia="宋体" w:cs="宋体" w:hint="eastAsia"/>
                <w:i w:val="0"/>
                <w:iCs w:val="0"/>
                <w:color w:val="000000"/>
                <w:kern w:val="0"/>
                <w:sz w:val="20"/>
                <w:szCs w:val="20"/>
                <w:lang w:val="en-US" w:eastAsia="zh-CN"/>
              </w:rPr>
              <w:t>人员经费</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公用经费</w:t>
            </w:r>
          </w:p>
        </w:tc>
        <w:tc>
          <w:tcPr>
            <w:tcW w:w="711"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r>
      <w:tr>
        <w:trPr>
          <w:trHeight w:val="450"/>
        </w:trPr>
        <w:tc>
          <w:tcPr>
            <w:tcW w:w="42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1017"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450"/>
        </w:trPr>
        <w:tc>
          <w:tcPr>
            <w:tcW w:w="42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1017"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450"/>
        </w:trPr>
        <w:tc>
          <w:tcPr>
            <w:tcW w:w="42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1017"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450"/>
        </w:trPr>
        <w:tc>
          <w:tcPr>
            <w:tcW w:w="42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1017"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r>
        <w:trPr>
          <w:trHeight w:val="450"/>
        </w:trPr>
        <w:tc>
          <w:tcPr>
            <w:tcW w:w="42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auto"/>
                <w:sz w:val="20"/>
                <w:szCs w:val="20"/>
              </w:rPr>
            </w:pPr>
            <w:r>
              <w:rPr>
                <w:rFonts w:ascii="宋体" w:eastAsia="宋体" w:cs="宋体" w:hint="eastAsia"/>
                <w:b/>
                <w:bCs/>
                <w:i w:val="0"/>
                <w:iCs w:val="0"/>
                <w:color w:val="auto"/>
                <w:kern w:val="0"/>
                <w:sz w:val="20"/>
                <w:szCs w:val="20"/>
                <w:lang w:val="en-US" w:eastAsia="zh-CN"/>
              </w:rPr>
              <w:t>　</w:t>
            </w:r>
          </w:p>
        </w:tc>
        <w:tc>
          <w:tcPr>
            <w:tcW w:w="1017"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auto"/>
                <w:sz w:val="20"/>
                <w:szCs w:val="20"/>
              </w:rPr>
            </w:pPr>
            <w:r>
              <w:rPr>
                <w:rFonts w:ascii="宋体" w:eastAsia="宋体" w:cs="宋体" w:hint="eastAsia"/>
                <w:b/>
                <w:bCs/>
                <w:i w:val="0"/>
                <w:iCs w:val="0"/>
                <w:color w:val="000000"/>
                <w:kern w:val="0"/>
                <w:sz w:val="20"/>
                <w:szCs w:val="20"/>
                <w:lang w:val="en-US" w:eastAsia="zh-CN"/>
              </w:rPr>
              <w:t>合        计</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71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r>
    </w:tbl>
    <w:p>
      <w:pPr>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
      <w:tblGrid>
        <w:gridCol w:w="2156"/>
        <w:gridCol w:w="5274"/>
        <w:gridCol w:w="1653"/>
        <w:gridCol w:w="2159"/>
        <w:gridCol w:w="2741"/>
      </w:tblGrid>
      <w:tr>
        <w:trPr>
          <w:trHeight w:val="345"/>
        </w:trPr>
        <w:tc>
          <w:tcPr>
            <w:tcW w:w="771" w:type="pct"/>
            <w:shd w:val="clear" w:color="auto" w:fill="auto"/>
            <w:noWrap/>
            <w:vAlign w:val="bottom"/>
          </w:tcPr>
          <w:p>
            <w:pPr>
              <w:rPr>
                <w:rFonts w:ascii="Calibri" w:cs="Calibri" w:hAnsi="Calibri" w:hint="eastAsia"/>
                <w:i w:val="0"/>
                <w:iCs w:val="0"/>
                <w:color w:val="auto"/>
                <w:sz w:val="24"/>
                <w:szCs w:val="24"/>
              </w:rPr>
            </w:pPr>
          </w:p>
        </w:tc>
        <w:tc>
          <w:tcPr>
            <w:tcW w:w="1885" w:type="pct"/>
            <w:shd w:val="clear" w:color="auto" w:fill="auto"/>
            <w:noWrap/>
            <w:vAlign w:val="bottom"/>
          </w:tcPr>
          <w:p>
            <w:pPr>
              <w:rPr>
                <w:rFonts w:ascii="Calibri" w:cs="Calibri" w:hAnsi="Calibri"/>
                <w:i w:val="0"/>
                <w:iCs w:val="0"/>
                <w:color w:val="auto"/>
                <w:sz w:val="24"/>
                <w:szCs w:val="24"/>
              </w:rPr>
            </w:pPr>
          </w:p>
        </w:tc>
        <w:tc>
          <w:tcPr>
            <w:tcW w:w="591" w:type="pct"/>
            <w:shd w:val="clear" w:color="auto" w:fill="auto"/>
            <w:noWrap/>
            <w:vAlign w:val="bottom"/>
          </w:tcPr>
          <w:p>
            <w:pPr>
              <w:rPr>
                <w:rFonts w:ascii="Calibri" w:cs="Calibri" w:hAnsi="Calibri"/>
                <w:i w:val="0"/>
                <w:iCs w:val="0"/>
                <w:color w:val="auto"/>
                <w:sz w:val="24"/>
                <w:szCs w:val="24"/>
              </w:rPr>
            </w:pPr>
          </w:p>
        </w:tc>
        <w:tc>
          <w:tcPr>
            <w:tcW w:w="771" w:type="pct"/>
            <w:shd w:val="clear" w:color="auto" w:fill="auto"/>
            <w:noWrap/>
            <w:vAlign w:val="bottom"/>
          </w:tcPr>
          <w:p>
            <w:pPr>
              <w:rPr>
                <w:rFonts w:ascii="Calibri" w:cs="Calibri" w:hAnsi="Calibri"/>
                <w:i w:val="0"/>
                <w:iCs w:val="0"/>
                <w:color w:val="auto"/>
                <w:sz w:val="24"/>
                <w:szCs w:val="24"/>
              </w:rPr>
            </w:pPr>
          </w:p>
        </w:tc>
        <w:tc>
          <w:tcPr>
            <w:tcW w:w="979"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批复表8</w:t>
            </w:r>
          </w:p>
        </w:tc>
      </w:tr>
      <w:tr>
        <w:trPr>
          <w:trHeight w:val="675"/>
        </w:trPr>
        <w:tc>
          <w:tcPr>
            <w:tcW w:w="5000" w:type="pct"/>
            <w:gridSpan w:val="5"/>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000000"/>
                <w:sz w:val="48"/>
                <w:szCs w:val="48"/>
              </w:rPr>
            </w:pPr>
            <w:r>
              <w:rPr>
                <w:rFonts w:ascii="宋体" w:eastAsia="宋体" w:cs="宋体" w:hint="eastAsia"/>
                <w:b/>
                <w:bCs/>
                <w:i w:val="0"/>
                <w:iCs w:val="0"/>
                <w:color w:val="000000"/>
                <w:kern w:val="0"/>
                <w:sz w:val="48"/>
                <w:szCs w:val="48"/>
                <w:lang w:val="en-US" w:eastAsia="zh-CN"/>
              </w:rPr>
              <w:t>一般公共预算基本支出表</w:t>
            </w:r>
          </w:p>
        </w:tc>
      </w:tr>
      <w:tr>
        <w:trPr>
          <w:trHeight w:val="315"/>
        </w:trPr>
        <w:tc>
          <w:tcPr>
            <w:tcW w:w="4020" w:type="pct"/>
            <w:gridSpan w:val="4"/>
            <w:shd w:val="clear" w:color="auto" w:fill="auto"/>
            <w:noWrap/>
            <w:vAlign w:val="center"/>
          </w:tcPr>
          <w:p>
            <w:pPr>
              <w:keepNext w:val="0"/>
              <w:keepLines w:val="0"/>
              <w:widowControl/>
              <w:suppressLineNumbers w:val="0"/>
              <w:jc w:val="left"/>
              <w:textAlignment w:val="center"/>
              <w:rPr>
                <w:rFonts w:ascii="Calibri" w:cs="Calibri" w:hAnsi="Calibri"/>
                <w:i w:val="0"/>
                <w:iCs w:val="0"/>
                <w:color w:val="auto"/>
                <w:sz w:val="16"/>
                <w:szCs w:val="16"/>
              </w:rPr>
            </w:pPr>
            <w:r>
              <w:rPr>
                <w:rFonts w:ascii="宋体" w:eastAsia="宋体" w:cs="宋体" w:hint="eastAsia"/>
                <w:i w:val="0"/>
                <w:iCs w:val="0"/>
                <w:color w:val="000000"/>
                <w:kern w:val="0"/>
                <w:sz w:val="16"/>
                <w:szCs w:val="16"/>
                <w:lang w:val="en-US" w:eastAsia="zh-CN"/>
              </w:rPr>
              <w:t>单位：吴江海关综合技术服务中心</w:t>
            </w:r>
          </w:p>
        </w:tc>
        <w:tc>
          <w:tcPr>
            <w:tcW w:w="979"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单位：万元</w:t>
            </w:r>
          </w:p>
        </w:tc>
      </w:tr>
      <w:tr>
        <w:trPr>
          <w:trHeight w:val="375"/>
        </w:trPr>
        <w:tc>
          <w:tcPr>
            <w:tcW w:w="2657" w:type="pct"/>
            <w:gridSpan w:val="2"/>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部门预算支出经济分类科目</w:t>
            </w:r>
          </w:p>
        </w:tc>
        <w:tc>
          <w:tcPr>
            <w:tcW w:w="2342" w:type="pct"/>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本年一般公共预算基本支出</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科目代码</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科目名称</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合计</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人员经费</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公用经费</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301</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b/>
                <w:bCs/>
                <w:i w:val="0"/>
                <w:iCs w:val="0"/>
                <w:color w:val="000000"/>
                <w:sz w:val="16"/>
                <w:szCs w:val="16"/>
              </w:rPr>
            </w:pPr>
            <w:r>
              <w:rPr>
                <w:rFonts w:ascii="宋体" w:eastAsia="宋体" w:cs="宋体" w:hint="eastAsia"/>
                <w:b/>
                <w:bCs/>
                <w:i w:val="0"/>
                <w:iCs w:val="0"/>
                <w:color w:val="000000"/>
                <w:kern w:val="0"/>
                <w:sz w:val="16"/>
                <w:szCs w:val="16"/>
                <w:lang w:val="en-US" w:eastAsia="zh-CN"/>
              </w:rPr>
              <w:t>工资福利支出</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251.00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251.00</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　</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30101</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基本工资</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52.00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52.00</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30102</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津贴补贴</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79.00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79.00</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30107</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绩效工资</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100.00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100.00</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30113</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住房公积金</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20.00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20.00</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302</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b/>
                <w:bCs/>
                <w:i w:val="0"/>
                <w:iCs w:val="0"/>
                <w:color w:val="000000"/>
                <w:sz w:val="16"/>
                <w:szCs w:val="16"/>
              </w:rPr>
            </w:pPr>
            <w:r>
              <w:rPr>
                <w:rFonts w:ascii="宋体" w:eastAsia="宋体" w:cs="宋体" w:hint="eastAsia"/>
                <w:b/>
                <w:bCs/>
                <w:i w:val="0"/>
                <w:iCs w:val="0"/>
                <w:color w:val="000000"/>
                <w:kern w:val="0"/>
                <w:sz w:val="16"/>
                <w:szCs w:val="16"/>
                <w:lang w:val="en-US" w:eastAsia="zh-CN"/>
              </w:rPr>
              <w:t>商品和服务支出</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75.00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　</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16"/>
                <w:szCs w:val="16"/>
              </w:rPr>
            </w:pPr>
            <w:r>
              <w:rPr>
                <w:rFonts w:ascii="宋体" w:eastAsia="宋体" w:cs="宋体" w:hint="eastAsia"/>
                <w:b/>
                <w:bCs/>
                <w:i w:val="0"/>
                <w:iCs w:val="0"/>
                <w:color w:val="000000"/>
                <w:kern w:val="0"/>
                <w:sz w:val="16"/>
                <w:szCs w:val="16"/>
                <w:lang w:val="en-US" w:eastAsia="zh-CN"/>
              </w:rPr>
              <w:t>75.00</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30201</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办公费</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2.50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2.50</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30211</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差旅费</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1.00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1.00</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30213</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维修（护）费</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3.00</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30226</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劳务费</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62.50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62.50</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30227</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16"/>
                <w:szCs w:val="16"/>
              </w:rPr>
            </w:pPr>
            <w:r>
              <w:rPr>
                <w:rFonts w:ascii="宋体" w:eastAsia="宋体" w:cs="宋体" w:hint="eastAsia"/>
                <w:i w:val="0"/>
                <w:iCs w:val="0"/>
                <w:color w:val="000000"/>
                <w:kern w:val="0"/>
                <w:sz w:val="16"/>
                <w:szCs w:val="16"/>
                <w:lang w:val="en-US" w:eastAsia="zh-CN"/>
              </w:rPr>
              <w:t>委托业务费</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6.00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　</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rPr>
            </w:pPr>
            <w:r>
              <w:rPr>
                <w:rFonts w:ascii="宋体" w:eastAsia="宋体" w:cs="宋体" w:hint="eastAsia"/>
                <w:i w:val="0"/>
                <w:iCs w:val="0"/>
                <w:color w:val="000000"/>
                <w:kern w:val="0"/>
                <w:sz w:val="16"/>
                <w:szCs w:val="16"/>
                <w:lang w:val="en-US" w:eastAsia="zh-CN"/>
              </w:rPr>
              <w:t>6.00</w:t>
            </w:r>
          </w:p>
        </w:tc>
      </w:tr>
      <w:tr>
        <w:trPr>
          <w:trHeight w:val="375"/>
        </w:trPr>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auto"/>
                <w:sz w:val="20"/>
                <w:szCs w:val="20"/>
              </w:rPr>
            </w:pPr>
            <w:r>
              <w:rPr>
                <w:rFonts w:ascii="宋体" w:eastAsia="宋体" w:cs="宋体" w:hint="eastAsia"/>
                <w:i w:val="0"/>
                <w:iCs w:val="0"/>
                <w:color w:val="auto"/>
                <w:kern w:val="0"/>
                <w:sz w:val="20"/>
                <w:szCs w:val="20"/>
                <w:lang w:val="en-US" w:eastAsia="zh-CN"/>
              </w:rPr>
              <w:t>　</w:t>
            </w:r>
          </w:p>
        </w:tc>
        <w:tc>
          <w:tcPr>
            <w:tcW w:w="1885"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auto"/>
                <w:sz w:val="16"/>
                <w:szCs w:val="16"/>
              </w:rPr>
            </w:pPr>
            <w:r>
              <w:rPr>
                <w:rFonts w:ascii="宋体" w:eastAsia="宋体" w:cs="宋体" w:hint="eastAsia"/>
                <w:b/>
                <w:bCs/>
                <w:i w:val="0"/>
                <w:iCs w:val="0"/>
                <w:color w:val="000000"/>
                <w:kern w:val="0"/>
                <w:sz w:val="16"/>
                <w:szCs w:val="16"/>
                <w:lang w:val="en-US" w:eastAsia="zh-CN"/>
              </w:rPr>
              <w:t>合        计</w:t>
            </w:r>
          </w:p>
        </w:tc>
        <w:tc>
          <w:tcPr>
            <w:tcW w:w="59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16"/>
                <w:szCs w:val="16"/>
              </w:rPr>
            </w:pPr>
            <w:r>
              <w:rPr>
                <w:rFonts w:ascii="宋体" w:eastAsia="宋体" w:cs="宋体" w:hint="eastAsia"/>
                <w:b/>
                <w:bCs/>
                <w:i w:val="0"/>
                <w:iCs w:val="0"/>
                <w:color w:val="000000"/>
                <w:kern w:val="0"/>
                <w:sz w:val="16"/>
                <w:szCs w:val="16"/>
                <w:lang w:val="en-US" w:eastAsia="zh-CN"/>
              </w:rPr>
              <w:t>326.00</w:t>
            </w:r>
          </w:p>
        </w:tc>
        <w:tc>
          <w:tcPr>
            <w:tcW w:w="771"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16"/>
                <w:szCs w:val="16"/>
              </w:rPr>
            </w:pPr>
            <w:r>
              <w:rPr>
                <w:rFonts w:ascii="宋体" w:eastAsia="宋体" w:cs="宋体" w:hint="eastAsia"/>
                <w:b/>
                <w:bCs/>
                <w:i w:val="0"/>
                <w:iCs w:val="0"/>
                <w:color w:val="000000"/>
                <w:kern w:val="0"/>
                <w:sz w:val="16"/>
                <w:szCs w:val="16"/>
                <w:lang w:val="en-US" w:eastAsia="zh-CN"/>
              </w:rPr>
              <w:t>251.00</w:t>
            </w:r>
          </w:p>
        </w:tc>
        <w:tc>
          <w:tcPr>
            <w:tcW w:w="97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auto"/>
                <w:sz w:val="16"/>
                <w:szCs w:val="16"/>
              </w:rPr>
            </w:pPr>
            <w:r>
              <w:rPr>
                <w:rFonts w:ascii="宋体" w:eastAsia="宋体" w:cs="宋体" w:hint="eastAsia"/>
                <w:b/>
                <w:bCs/>
                <w:i w:val="0"/>
                <w:iCs w:val="0"/>
                <w:color w:val="000000"/>
                <w:kern w:val="0"/>
                <w:sz w:val="16"/>
                <w:szCs w:val="16"/>
                <w:lang w:val="en-US" w:eastAsia="zh-CN"/>
              </w:rPr>
              <w:t>75.00</w:t>
            </w:r>
          </w:p>
        </w:tc>
      </w:tr>
    </w:tbl>
    <w:p>
      <w:pPr>
        <w:rPr>
          <w:rFonts w:ascii="Times New Roman" w:eastAsia="方正仿宋_GBK" w:hAnsi="Times New Roman"/>
          <w:sz w:val="32"/>
          <w:szCs w:val="32"/>
        </w:rPr>
      </w:pPr>
    </w:p>
    <w:p>
      <w:pPr>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
      <w:tblGrid>
        <w:gridCol w:w="2898"/>
        <w:gridCol w:w="2898"/>
        <w:gridCol w:w="764"/>
        <w:gridCol w:w="2543"/>
        <w:gridCol w:w="2551"/>
        <w:gridCol w:w="2333"/>
      </w:tblGrid>
      <w:tr>
        <w:trPr>
          <w:trHeight w:val="300"/>
        </w:trPr>
        <w:tc>
          <w:tcPr>
            <w:tcW w:w="1036" w:type="pct"/>
            <w:shd w:val="clear" w:color="auto" w:fill="auto"/>
            <w:noWrap/>
            <w:vAlign w:val="bottom"/>
          </w:tcPr>
          <w:p>
            <w:pPr>
              <w:rPr>
                <w:rFonts w:ascii="Calibri" w:cs="Calibri" w:hAnsi="Calibri" w:hint="eastAsia"/>
                <w:i w:val="0"/>
                <w:iCs w:val="0"/>
                <w:color w:val="auto"/>
                <w:sz w:val="24"/>
                <w:szCs w:val="24"/>
              </w:rPr>
            </w:pPr>
          </w:p>
        </w:tc>
        <w:tc>
          <w:tcPr>
            <w:tcW w:w="1036" w:type="pct"/>
            <w:shd w:val="clear" w:color="auto" w:fill="auto"/>
            <w:noWrap/>
            <w:vAlign w:val="bottom"/>
          </w:tcPr>
          <w:p>
            <w:pPr>
              <w:rPr>
                <w:rFonts w:ascii="Calibri" w:cs="Calibri" w:hAnsi="Calibri"/>
                <w:i w:val="0"/>
                <w:iCs w:val="0"/>
                <w:color w:val="auto"/>
                <w:sz w:val="24"/>
                <w:szCs w:val="24"/>
              </w:rPr>
            </w:pPr>
          </w:p>
        </w:tc>
        <w:tc>
          <w:tcPr>
            <w:tcW w:w="273" w:type="pct"/>
            <w:shd w:val="clear" w:color="auto" w:fill="auto"/>
            <w:noWrap/>
            <w:vAlign w:val="bottom"/>
          </w:tcPr>
          <w:p>
            <w:pPr>
              <w:rPr>
                <w:rFonts w:ascii="Calibri" w:cs="Calibri" w:hAnsi="Calibri"/>
                <w:i w:val="0"/>
                <w:iCs w:val="0"/>
                <w:color w:val="auto"/>
                <w:sz w:val="24"/>
                <w:szCs w:val="24"/>
              </w:rPr>
            </w:pPr>
          </w:p>
        </w:tc>
        <w:tc>
          <w:tcPr>
            <w:tcW w:w="909" w:type="pct"/>
            <w:shd w:val="clear" w:color="auto" w:fill="auto"/>
            <w:noWrap/>
            <w:vAlign w:val="bottom"/>
          </w:tcPr>
          <w:p>
            <w:pPr>
              <w:rPr>
                <w:rFonts w:ascii="Calibri" w:cs="Calibri" w:hAnsi="Calibri"/>
                <w:i w:val="0"/>
                <w:iCs w:val="0"/>
                <w:color w:val="auto"/>
                <w:sz w:val="24"/>
                <w:szCs w:val="24"/>
              </w:rPr>
            </w:pPr>
          </w:p>
        </w:tc>
        <w:tc>
          <w:tcPr>
            <w:tcW w:w="909" w:type="pct"/>
            <w:shd w:val="clear" w:color="auto" w:fill="auto"/>
            <w:noWrap/>
            <w:vAlign w:val="bottom"/>
          </w:tcPr>
          <w:p>
            <w:pPr>
              <w:rPr>
                <w:rFonts w:ascii="Calibri" w:cs="Calibri" w:hAnsi="Calibri"/>
                <w:i w:val="0"/>
                <w:iCs w:val="0"/>
                <w:color w:val="auto"/>
                <w:sz w:val="24"/>
                <w:szCs w:val="24"/>
              </w:rPr>
            </w:pPr>
          </w:p>
        </w:tc>
        <w:tc>
          <w:tcPr>
            <w:tcW w:w="833"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批复表9</w:t>
            </w:r>
          </w:p>
        </w:tc>
      </w:tr>
      <w:tr>
        <w:trPr>
          <w:trHeight w:val="750"/>
        </w:trPr>
        <w:tc>
          <w:tcPr>
            <w:tcW w:w="5000" w:type="pct"/>
            <w:gridSpan w:val="6"/>
            <w:shd w:val="clear" w:color="auto" w:fill="auto"/>
            <w:noWrap/>
            <w:vAlign w:val="center"/>
          </w:tcPr>
          <w:p>
            <w:pPr>
              <w:keepNext w:val="0"/>
              <w:keepLines w:val="0"/>
              <w:widowControl/>
              <w:suppressLineNumbers w:val="0"/>
              <w:jc w:val="center"/>
              <w:textAlignment w:val="center"/>
              <w:rPr>
                <w:rFonts w:ascii="Calibri" w:cs="Calibri" w:hAnsi="Calibri"/>
                <w:b/>
                <w:bCs/>
                <w:i w:val="0"/>
                <w:iCs w:val="0"/>
                <w:color w:val="000000"/>
                <w:sz w:val="48"/>
                <w:szCs w:val="48"/>
              </w:rPr>
            </w:pPr>
            <w:r>
              <w:rPr>
                <w:rFonts w:ascii="宋体" w:eastAsia="宋体" w:cs="宋体" w:hint="eastAsia"/>
                <w:b/>
                <w:bCs/>
                <w:i w:val="0"/>
                <w:iCs w:val="0"/>
                <w:color w:val="000000"/>
                <w:kern w:val="0"/>
                <w:sz w:val="48"/>
                <w:szCs w:val="48"/>
                <w:lang w:val="en-US" w:eastAsia="zh-CN"/>
              </w:rPr>
              <w:t>财政拨款预算“三公”经费支出表</w:t>
            </w:r>
          </w:p>
        </w:tc>
      </w:tr>
      <w:tr>
        <w:trPr>
          <w:trHeight w:val="390"/>
        </w:trPr>
        <w:tc>
          <w:tcPr>
            <w:tcW w:w="4166" w:type="pct"/>
            <w:gridSpan w:val="5"/>
            <w:shd w:val="clear" w:color="auto" w:fill="auto"/>
            <w:noWrap/>
            <w:vAlign w:val="center"/>
          </w:tcPr>
          <w:p>
            <w:pPr>
              <w:keepNext w:val="0"/>
              <w:keepLines w:val="0"/>
              <w:widowControl/>
              <w:suppressLineNumbers w:val="0"/>
              <w:jc w:val="lef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单位：吴江海关综合技术服务中心</w:t>
            </w:r>
          </w:p>
        </w:tc>
        <w:tc>
          <w:tcPr>
            <w:tcW w:w="833" w:type="pct"/>
            <w:shd w:val="clear" w:color="auto" w:fill="auto"/>
            <w:noWrap/>
            <w:vAlign w:val="center"/>
          </w:tcPr>
          <w:p>
            <w:pPr>
              <w:keepNext w:val="0"/>
              <w:keepLines w:val="0"/>
              <w:widowControl/>
              <w:suppressLineNumbers w:val="0"/>
              <w:jc w:val="right"/>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单位：万元</w:t>
            </w:r>
          </w:p>
        </w:tc>
      </w:tr>
      <w:tr>
        <w:trPr>
          <w:trHeight w:val="420"/>
        </w:trPr>
        <w:tc>
          <w:tcPr>
            <w:tcW w:w="1036"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rPr>
            </w:pPr>
            <w:r>
              <w:rPr>
                <w:rFonts w:ascii="宋体" w:eastAsia="宋体" w:cs="宋体" w:hint="eastAsia"/>
                <w:i w:val="0"/>
                <w:iCs w:val="0"/>
                <w:color w:val="000000"/>
                <w:kern w:val="0"/>
                <w:sz w:val="20"/>
                <w:szCs w:val="20"/>
                <w:lang w:val="en-US" w:eastAsia="zh-CN"/>
              </w:rPr>
              <w:t>“三公”经费合计</w:t>
            </w:r>
          </w:p>
        </w:tc>
        <w:tc>
          <w:tcPr>
            <w:tcW w:w="1036"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因公出国（境）费</w:t>
            </w:r>
          </w:p>
        </w:tc>
        <w:tc>
          <w:tcPr>
            <w:tcW w:w="2093" w:type="pct"/>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公务用车购置及运行费</w:t>
            </w:r>
          </w:p>
        </w:tc>
        <w:tc>
          <w:tcPr>
            <w:tcW w:w="833" w:type="pct"/>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公务接待费</w:t>
            </w:r>
          </w:p>
        </w:tc>
      </w:tr>
      <w:tr>
        <w:trPr>
          <w:trHeight w:val="420"/>
        </w:trPr>
        <w:tc>
          <w:tcPr>
            <w:tcW w:w="1036"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1036"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c>
          <w:tcPr>
            <w:tcW w:w="27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小计</w:t>
            </w:r>
          </w:p>
        </w:tc>
        <w:tc>
          <w:tcPr>
            <w:tcW w:w="90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公务用车购置费</w:t>
            </w:r>
          </w:p>
        </w:tc>
        <w:tc>
          <w:tcPr>
            <w:tcW w:w="90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center"/>
              <w:textAlignment w:val="center"/>
              <w:rPr>
                <w:rFonts w:ascii="Calibri" w:cs="Calibri" w:hAnsi="Calibri"/>
                <w:i w:val="0"/>
                <w:iCs w:val="0"/>
                <w:color w:val="000000"/>
                <w:sz w:val="20"/>
                <w:szCs w:val="20"/>
              </w:rPr>
            </w:pPr>
            <w:r>
              <w:rPr>
                <w:rFonts w:ascii="宋体" w:eastAsia="宋体" w:cs="宋体" w:hint="eastAsia"/>
                <w:i w:val="0"/>
                <w:iCs w:val="0"/>
                <w:color w:val="000000"/>
                <w:kern w:val="0"/>
                <w:sz w:val="20"/>
                <w:szCs w:val="20"/>
                <w:lang w:val="en-US" w:eastAsia="zh-CN"/>
              </w:rPr>
              <w:t>公务用车运行费</w:t>
            </w:r>
          </w:p>
        </w:tc>
        <w:tc>
          <w:tcPr>
            <w:tcW w:w="833" w:type="pct"/>
            <w:vMerge/>
            <w:tcBorders>
              <w:top w:val="single" w:sz="6" w:space="0" w:color="000000"/>
              <w:left w:val="single" w:sz="6" w:space="0" w:color="000000"/>
              <w:bottom w:val="single" w:sz="6" w:space="0" w:color="000000"/>
              <w:right w:val="single" w:sz="6" w:space="0" w:color="000000"/>
            </w:tcBorders>
            <w:shd w:val="clear" w:color="auto" w:fill="auto"/>
            <w:noWrap/>
            <w:vAlign w:val="center"/>
          </w:tcPr>
          <w:p/>
        </w:tc>
      </w:tr>
      <w:tr>
        <w:trPr>
          <w:trHeight w:val="450"/>
        </w:trPr>
        <w:tc>
          <w:tcPr>
            <w:tcW w:w="103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微软雅黑" w:eastAsia="微软雅黑" w:cs="微软雅黑"/>
                <w:i w:val="0"/>
                <w:iCs w:val="0"/>
                <w:color w:val="000000"/>
                <w:sz w:val="20"/>
                <w:szCs w:val="20"/>
              </w:rPr>
            </w:pPr>
            <w:r>
              <w:rPr>
                <w:rFonts w:ascii="微软雅黑" w:eastAsia="微软雅黑" w:cs="微软雅黑" w:hint="eastAsia"/>
                <w:i w:val="0"/>
                <w:iCs w:val="0"/>
                <w:color w:val="000000"/>
                <w:kern w:val="0"/>
                <w:sz w:val="20"/>
                <w:szCs w:val="20"/>
                <w:lang w:val="en-US" w:eastAsia="zh-CN"/>
              </w:rPr>
              <w:t>　</w:t>
            </w:r>
          </w:p>
        </w:tc>
        <w:tc>
          <w:tcPr>
            <w:tcW w:w="1036"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Arial" w:cs="Arial" w:hAnsi="Arial"/>
                <w:i w:val="0"/>
                <w:iCs w:val="0"/>
                <w:color w:val="000000"/>
                <w:sz w:val="20"/>
                <w:szCs w:val="20"/>
              </w:rPr>
            </w:pPr>
            <w:r>
              <w:rPr>
                <w:rFonts w:ascii="Arial" w:eastAsia="宋体" w:cs="Arial" w:hAnsi="Arial"/>
                <w:i w:val="0"/>
                <w:iCs w:val="0"/>
                <w:color w:val="000000"/>
                <w:kern w:val="0"/>
                <w:sz w:val="20"/>
                <w:szCs w:val="20"/>
                <w:lang w:val="en-US" w:eastAsia="zh-CN"/>
              </w:rPr>
              <w:t>　</w:t>
            </w:r>
          </w:p>
        </w:tc>
        <w:tc>
          <w:tcPr>
            <w:tcW w:w="27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Arial" w:cs="Arial" w:hAnsi="Arial"/>
                <w:i w:val="0"/>
                <w:iCs w:val="0"/>
                <w:color w:val="000000"/>
                <w:sz w:val="20"/>
                <w:szCs w:val="20"/>
              </w:rPr>
            </w:pPr>
            <w:r>
              <w:rPr>
                <w:rFonts w:ascii="Arial" w:eastAsia="宋体" w:cs="Arial" w:hAnsi="Arial"/>
                <w:i w:val="0"/>
                <w:iCs w:val="0"/>
                <w:color w:val="000000"/>
                <w:kern w:val="0"/>
                <w:sz w:val="20"/>
                <w:szCs w:val="20"/>
                <w:lang w:val="en-US" w:eastAsia="zh-CN"/>
              </w:rPr>
              <w:t>　</w:t>
            </w:r>
          </w:p>
        </w:tc>
        <w:tc>
          <w:tcPr>
            <w:tcW w:w="90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Arial" w:cs="Arial" w:hAnsi="Arial"/>
                <w:i w:val="0"/>
                <w:iCs w:val="0"/>
                <w:color w:val="000000"/>
                <w:sz w:val="20"/>
                <w:szCs w:val="20"/>
              </w:rPr>
            </w:pPr>
            <w:r>
              <w:rPr>
                <w:rFonts w:ascii="Arial" w:eastAsia="宋体" w:cs="Arial" w:hAnsi="Arial"/>
                <w:i w:val="0"/>
                <w:iCs w:val="0"/>
                <w:color w:val="000000"/>
                <w:kern w:val="0"/>
                <w:sz w:val="20"/>
                <w:szCs w:val="20"/>
                <w:lang w:val="en-US" w:eastAsia="zh-CN"/>
              </w:rPr>
              <w:t>　</w:t>
            </w:r>
          </w:p>
        </w:tc>
        <w:tc>
          <w:tcPr>
            <w:tcW w:w="909"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微软雅黑" w:eastAsia="微软雅黑" w:cs="微软雅黑" w:hint="eastAsia"/>
                <w:i w:val="0"/>
                <w:iCs w:val="0"/>
                <w:color w:val="000000"/>
                <w:sz w:val="20"/>
                <w:szCs w:val="20"/>
              </w:rPr>
            </w:pPr>
            <w:r>
              <w:rPr>
                <w:rFonts w:ascii="微软雅黑" w:eastAsia="微软雅黑" w:cs="微软雅黑" w:hint="eastAsia"/>
                <w:i w:val="0"/>
                <w:iCs w:val="0"/>
                <w:color w:val="000000"/>
                <w:kern w:val="0"/>
                <w:sz w:val="20"/>
                <w:szCs w:val="20"/>
                <w:lang w:val="en-US" w:eastAsia="zh-CN"/>
              </w:rPr>
              <w:t>　</w:t>
            </w:r>
          </w:p>
        </w:tc>
        <w:tc>
          <w:tcPr>
            <w:tcW w:w="833" w:type="pct"/>
            <w:tcBorders>
              <w:top w:val="single" w:sz="6" w:space="0" w:color="000000"/>
              <w:left w:val="single" w:sz="6" w:space="0" w:color="000000"/>
              <w:bottom w:val="single" w:sz="6" w:space="0" w:color="000000"/>
              <w:right w:val="single" w:sz="6" w:space="0" w:color="000000"/>
            </w:tcBorders>
            <w:shd w:val="clear" w:color="auto" w:fill="auto"/>
            <w:noWrap/>
            <w:vAlign w:val="center"/>
          </w:tcPr>
          <w:p>
            <w:pPr>
              <w:keepNext w:val="0"/>
              <w:keepLines w:val="0"/>
              <w:widowControl/>
              <w:suppressLineNumbers w:val="0"/>
              <w:jc w:val="right"/>
              <w:textAlignment w:val="center"/>
              <w:rPr>
                <w:rFonts w:ascii="Arial" w:cs="Arial" w:hAnsi="Arial"/>
                <w:i w:val="0"/>
                <w:iCs w:val="0"/>
                <w:color w:val="000000"/>
                <w:sz w:val="20"/>
                <w:szCs w:val="20"/>
              </w:rPr>
            </w:pPr>
            <w:r>
              <w:rPr>
                <w:rFonts w:ascii="Arial" w:eastAsia="宋体" w:cs="Arial" w:hAnsi="Arial"/>
                <w:i w:val="0"/>
                <w:iCs w:val="0"/>
                <w:color w:val="000000"/>
                <w:kern w:val="0"/>
                <w:sz w:val="20"/>
                <w:szCs w:val="20"/>
                <w:lang w:val="en-US" w:eastAsia="zh-CN"/>
              </w:rPr>
              <w:t>　</w:t>
            </w:r>
          </w:p>
        </w:tc>
      </w:tr>
    </w:tbl>
    <w:p>
      <w:pPr>
        <w:rPr>
          <w:rFonts w:ascii="Times New Roman" w:eastAsia="方正仿宋_GBK" w:hAnsi="Times New Roman"/>
          <w:sz w:val="32"/>
          <w:szCs w:val="32"/>
        </w:rPr>
      </w:pPr>
      <w:r>
        <w:rPr>
          <w:rFonts w:ascii="Times New Roman" w:eastAsia="方正仿宋_GBK" w:hAnsi="Times New Roman"/>
          <w:sz w:val="32"/>
          <w:szCs w:val="32"/>
        </w:rPr>
        <w:br w:type="page"/>
      </w: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吴江海关综合技术服务中心</w:t>
      </w:r>
      <w:r>
        <w:rPr>
          <w:rFonts w:ascii="Times New Roman" w:hAnsi="Times New Roman"/>
          <w:b/>
          <w:sz w:val="80"/>
          <w:szCs w:val="80"/>
        </w:rPr>
        <w:t>2025年</w:t>
      </w:r>
      <w:r>
        <w:rPr>
          <w:rFonts w:ascii="Times New Roman" w:hAnsi="Times New Roman" w:hint="eastAsia"/>
          <w:b/>
          <w:sz w:val="80"/>
          <w:szCs w:val="80"/>
        </w:rPr>
        <w:t>部门预算情况说明</w:t>
      </w:r>
    </w:p>
    <w:p>
      <w:pPr>
        <w:pStyle w:val="19"/>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9"/>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吴江</w:t>
      </w:r>
      <w:r>
        <w:rPr>
          <w:rFonts w:eastAsia="方正黑体_GBK"/>
          <w:sz w:val="32"/>
          <w:szCs w:val="32"/>
        </w:rPr>
        <w:t>海关</w:t>
      </w:r>
      <w:r>
        <w:rPr>
          <w:rFonts w:eastAsia="方正黑体_GBK" w:hint="eastAsia"/>
          <w:sz w:val="32"/>
          <w:szCs w:val="32"/>
        </w:rPr>
        <w:t>综合技术服务中心</w:t>
      </w:r>
      <w:r>
        <w:rPr>
          <w:rFonts w:eastAsia="方正黑体_GBK"/>
          <w:sz w:val="32"/>
          <w:szCs w:val="32"/>
        </w:rPr>
        <w:t>2025年收支预算情况的总体说明</w:t>
      </w:r>
    </w:p>
    <w:p>
      <w:pPr>
        <w:pStyle w:val="19"/>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吴江</w:t>
      </w:r>
      <w:r>
        <w:rPr>
          <w:rFonts w:eastAsia="方正仿宋_GBK"/>
          <w:sz w:val="32"/>
          <w:szCs w:val="32"/>
        </w:rPr>
        <w:t>海关</w:t>
      </w:r>
      <w:r>
        <w:rPr>
          <w:rFonts w:eastAsia="方正仿宋_GBK" w:hint="eastAsia"/>
          <w:sz w:val="32"/>
          <w:szCs w:val="32"/>
        </w:rPr>
        <w:t>综合技术服务中心</w:t>
      </w:r>
      <w:r>
        <w:rPr>
          <w:rFonts w:eastAsia="方正仿宋_GBK"/>
          <w:sz w:val="32"/>
          <w:szCs w:val="32"/>
        </w:rPr>
        <w:t>所有收入和支出均纳入部门预算管理。收入包括：一般公共预算拨款收入、事业收入、其他收入、使用非财政拨款结余、上年结转；支出包括：一般公共服务支出、社会保障和就业支出、卫生健康支出、住房保障支出。</w:t>
      </w:r>
      <w:r>
        <w:rPr>
          <w:rFonts w:eastAsia="方正仿宋_GBK" w:hint="eastAsia"/>
          <w:sz w:val="32"/>
          <w:szCs w:val="32"/>
        </w:rPr>
        <w:t>吴江</w:t>
      </w:r>
      <w:r>
        <w:rPr>
          <w:rFonts w:eastAsia="方正仿宋_GBK"/>
          <w:sz w:val="32"/>
          <w:szCs w:val="32"/>
        </w:rPr>
        <w:t>海关</w:t>
      </w:r>
      <w:r>
        <w:rPr>
          <w:rFonts w:eastAsia="方正仿宋_GBK" w:hint="eastAsia"/>
          <w:sz w:val="32"/>
          <w:szCs w:val="32"/>
        </w:rPr>
        <w:t>综合技术服务中心</w:t>
      </w:r>
      <w:r>
        <w:rPr>
          <w:rFonts w:eastAsia="方正仿宋_GBK"/>
          <w:sz w:val="32"/>
          <w:szCs w:val="32"/>
        </w:rPr>
        <w:t>2025年收支总预算1428万元。</w:t>
      </w:r>
    </w:p>
    <w:p>
      <w:pPr>
        <w:pStyle w:val="19"/>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吴江</w:t>
      </w:r>
      <w:r>
        <w:rPr>
          <w:rFonts w:eastAsia="方正黑体_GBK"/>
          <w:sz w:val="32"/>
          <w:szCs w:val="32"/>
        </w:rPr>
        <w:t>海关</w:t>
      </w:r>
      <w:r>
        <w:rPr>
          <w:rFonts w:eastAsia="方正黑体_GBK" w:hint="eastAsia"/>
          <w:sz w:val="32"/>
          <w:szCs w:val="32"/>
        </w:rPr>
        <w:t>综合技术服务中心</w:t>
      </w:r>
      <w:r>
        <w:rPr>
          <w:rFonts w:eastAsia="方正黑体_GBK"/>
          <w:sz w:val="32"/>
          <w:szCs w:val="32"/>
        </w:rPr>
        <w:t>2025年收入预算情况说明</w:t>
      </w:r>
    </w:p>
    <w:p>
      <w:pPr>
        <w:pStyle w:val="19"/>
        <w:spacing w:line="560" w:lineRule="exact"/>
        <w:ind w:firstLineChars="200" w:firstLine="640"/>
        <w:rPr>
          <w:rFonts w:eastAsia="方正仿宋_GBK"/>
          <w:sz w:val="32"/>
          <w:szCs w:val="32"/>
        </w:rPr>
      </w:pPr>
      <w:r>
        <w:rPr>
          <w:rFonts w:eastAsia="方正黑体_GBK" w:hint="eastAsia"/>
          <w:sz w:val="32"/>
          <w:szCs w:val="32"/>
          <w:lang w:eastAsia="zh-CN"/>
        </w:rPr>
        <w:drawing>
          <wp:anchor distT="0" distB="0" distL="114300" distR="114300" simplePos="0" relativeHeight="15" behindDoc="1" locked="0" layoutInCell="1" hidden="0" allowOverlap="1">
            <wp:simplePos x="0" y="0"/>
            <wp:positionH relativeFrom="column">
              <wp:posOffset>222885</wp:posOffset>
            </wp:positionH>
            <wp:positionV relativeFrom="paragraph">
              <wp:posOffset>1553845</wp:posOffset>
            </wp:positionV>
            <wp:extent cx="4413885" cy="2953385"/>
            <wp:effectExtent l="0" t="0" r="0" b="0"/>
            <wp:wrapTopAndBottom/>
            <wp:docPr id="4" name="图表 2"/>
            <wp:cNvGraphicFramePr>
              <a:graphicFrameLocks noChangeAspect="0"/>
            </wp:cNvGraphicFramePr>
            <a:graphic>
              <a:graphicData uri="http://schemas.openxmlformats.org/drawingml/2006/picture">
                <pic:pic>
                  <pic:nvPicPr>
                    <pic:cNvPr id="6" name="图表 2 6"/>
                    <pic:cNvPicPr/>
                  </pic:nvPicPr>
                  <pic:blipFill>
                    <a:blip r:embed="rId3"/>
                    <a:stretch>
                      <a:fillRect/>
                    </a:stretch>
                  </pic:blipFill>
                  <pic:spPr>
                    <a:xfrm rot="0">
                      <a:off x="0" y="0"/>
                      <a:ext cx="4413885" cy="2953385"/>
                    </a:xfrm>
                    <a:prstGeom prst="rect"/>
                    <a:noFill/>
                    <a:ln w="9525" cmpd="sng" cap="flat">
                      <a:solidFill>
                        <a:srgbClr val="000000"/>
                      </a:solidFill>
                      <a:prstDash val="solid"/>
                      <a:miter/>
                    </a:ln>
                  </pic:spPr>
                </pic:pic>
              </a:graphicData>
            </a:graphic>
          </wp:anchor>
        </w:drawing>
      </w:r>
      <w:r>
        <w:rPr>
          <w:rFonts w:eastAsia="方正仿宋_GBK" w:hint="eastAsia"/>
          <w:sz w:val="32"/>
          <w:szCs w:val="32"/>
        </w:rPr>
        <w:t>吴江</w:t>
      </w:r>
      <w:r>
        <w:rPr>
          <w:rFonts w:eastAsia="方正仿宋_GBK"/>
          <w:sz w:val="32"/>
          <w:szCs w:val="32"/>
        </w:rPr>
        <w:t>海关</w:t>
      </w:r>
      <w:r>
        <w:rPr>
          <w:rFonts w:eastAsia="方正仿宋_GBK" w:hint="eastAsia"/>
          <w:sz w:val="32"/>
          <w:szCs w:val="32"/>
        </w:rPr>
        <w:t>综合技术服务中心</w:t>
      </w:r>
      <w:r>
        <w:rPr>
          <w:rFonts w:eastAsia="方正仿宋_GBK"/>
          <w:sz w:val="32"/>
          <w:szCs w:val="32"/>
        </w:rPr>
        <w:t>2025年收入预算1428万元，其中：一般公共预算财政拨款348万元，占24.37%；事业收入</w:t>
      </w:r>
      <w:r>
        <w:rPr>
          <w:rFonts w:eastAsia="方正仿宋_GBK" w:hint="eastAsia"/>
          <w:sz w:val="32"/>
          <w:szCs w:val="32"/>
        </w:rPr>
        <w:t>80</w:t>
      </w:r>
      <w:r>
        <w:rPr>
          <w:rFonts w:eastAsia="方正仿宋_GBK"/>
          <w:sz w:val="32"/>
          <w:szCs w:val="32"/>
        </w:rPr>
        <w:t>万元，占5.6%；其他收入825万元，占57.77%；使用非财政拨款结余175万元，占12.25%。</w:t>
      </w:r>
    </w:p>
    <w:p>
      <w:pPr>
        <w:pStyle w:val="19"/>
        <w:spacing w:line="560" w:lineRule="exact"/>
        <w:ind w:firstLineChars="200" w:firstLine="640"/>
        <w:rPr>
          <w:rFonts w:eastAsia="方正黑体_GBK" w:hint="eastAsia"/>
          <w:sz w:val="32"/>
          <w:szCs w:val="32"/>
          <w:lang w:eastAsia="zh-CN"/>
        </w:rPr>
      </w:pPr>
    </w:p>
    <w:p>
      <w:pPr>
        <w:pStyle w:val="19"/>
        <w:spacing w:line="560" w:lineRule="exact"/>
        <w:ind w:firstLineChars="200" w:firstLine="640"/>
        <w:rPr>
          <w:rFonts w:eastAsia="方正黑体_GBK"/>
          <w:sz w:val="32"/>
          <w:szCs w:val="32"/>
        </w:rPr>
      </w:pPr>
    </w:p>
    <w:p>
      <w:pPr>
        <w:pStyle w:val="19"/>
        <w:spacing w:line="560" w:lineRule="exact"/>
        <w:ind w:firstLineChars="200" w:firstLine="640"/>
        <w:rPr>
          <w:rFonts w:eastAsia="方正黑体_GBK"/>
          <w:sz w:val="32"/>
          <w:szCs w:val="32"/>
        </w:rPr>
      </w:pPr>
    </w:p>
    <w:p>
      <w:pPr>
        <w:pStyle w:val="19"/>
        <w:spacing w:line="560" w:lineRule="exact"/>
        <w:ind w:firstLineChars="200" w:firstLine="640"/>
        <w:rPr>
          <w:rFonts w:eastAsia="方正黑体_GBK"/>
          <w:sz w:val="32"/>
          <w:szCs w:val="32"/>
        </w:rPr>
      </w:pPr>
      <w:r>
        <w:rPr>
          <w:rFonts w:eastAsia="方正黑体_GBK" w:hint="eastAsia"/>
          <w:sz w:val="32"/>
          <w:szCs w:val="32"/>
        </w:rPr>
        <w:t>三、关于吴江</w:t>
      </w:r>
      <w:r>
        <w:rPr>
          <w:rFonts w:eastAsia="方正黑体_GBK"/>
          <w:sz w:val="32"/>
          <w:szCs w:val="32"/>
        </w:rPr>
        <w:t>海关</w:t>
      </w:r>
      <w:r>
        <w:rPr>
          <w:rFonts w:eastAsia="方正黑体_GBK" w:hint="eastAsia"/>
          <w:sz w:val="32"/>
          <w:szCs w:val="32"/>
        </w:rPr>
        <w:t>综合技术服务中心</w:t>
      </w:r>
      <w:r>
        <w:rPr>
          <w:rFonts w:eastAsia="方正黑体_GBK"/>
          <w:sz w:val="32"/>
          <w:szCs w:val="32"/>
        </w:rPr>
        <w:t>2025年</w:t>
      </w:r>
      <w:r>
        <w:rPr>
          <w:rFonts w:eastAsia="方正黑体_GBK" w:hint="eastAsia"/>
          <w:sz w:val="32"/>
          <w:szCs w:val="32"/>
        </w:rPr>
        <w:t>支出预算情况说明</w:t>
      </w:r>
    </w:p>
    <w:p>
      <w:pPr>
        <w:pStyle w:val="19"/>
        <w:spacing w:line="560" w:lineRule="exact"/>
        <w:ind w:firstLineChars="200" w:firstLine="640"/>
        <w:rPr>
          <w:rFonts w:eastAsia="方正仿宋_GBK"/>
          <w:sz w:val="32"/>
          <w:szCs w:val="32"/>
        </w:rPr>
      </w:pPr>
      <w:r>
        <w:rPr>
          <w:rFonts w:eastAsia="方正仿宋_GBK" w:hint="eastAsia"/>
          <w:sz w:val="32"/>
          <w:szCs w:val="32"/>
        </w:rPr>
        <w:t>吴江海关综合技术服务中心</w:t>
      </w:r>
      <w:r>
        <w:rPr>
          <w:rFonts w:eastAsia="方正仿宋_GBK"/>
          <w:sz w:val="32"/>
          <w:szCs w:val="32"/>
        </w:rPr>
        <w:t>2025年</w:t>
      </w:r>
      <w:r>
        <w:rPr>
          <w:rFonts w:eastAsia="方正仿宋_GBK" w:hint="eastAsia"/>
          <w:sz w:val="32"/>
          <w:szCs w:val="32"/>
        </w:rPr>
        <w:t>支出预算</w:t>
      </w:r>
      <w:r>
        <w:rPr>
          <w:rFonts w:eastAsia="方正仿宋_GBK" w:hint="eastAsia"/>
          <w:sz w:val="32"/>
          <w:szCs w:val="32"/>
          <w:lang w:val="en-US" w:eastAsia="zh-CN"/>
        </w:rPr>
        <w:t>1428</w:t>
      </w:r>
      <w:r>
        <w:rPr>
          <w:rFonts w:eastAsia="方正仿宋_GBK" w:hint="eastAsia"/>
          <w:sz w:val="32"/>
          <w:szCs w:val="32"/>
        </w:rPr>
        <w:t>万元，其中：基本支出</w:t>
      </w:r>
      <w:r>
        <w:rPr>
          <w:rFonts w:eastAsia="方正仿宋_GBK" w:hint="eastAsia"/>
          <w:sz w:val="32"/>
          <w:szCs w:val="32"/>
          <w:lang w:val="en-US" w:eastAsia="zh-CN"/>
        </w:rPr>
        <w:t>1406</w:t>
      </w:r>
      <w:r>
        <w:rPr>
          <w:rFonts w:eastAsia="方正仿宋_GBK" w:hint="eastAsia"/>
          <w:sz w:val="32"/>
          <w:szCs w:val="32"/>
        </w:rPr>
        <w:t>万元，占</w:t>
      </w:r>
      <w:r>
        <w:rPr>
          <w:rFonts w:eastAsia="方正仿宋_GBK" w:hint="eastAsia"/>
          <w:sz w:val="32"/>
          <w:szCs w:val="32"/>
          <w:lang w:val="en-US" w:eastAsia="zh-CN"/>
        </w:rPr>
        <w:t>98.46</w:t>
      </w:r>
      <w:r>
        <w:rPr>
          <w:rFonts w:eastAsia="方正仿宋_GBK"/>
          <w:sz w:val="32"/>
          <w:szCs w:val="32"/>
        </w:rPr>
        <w:t>%</w:t>
      </w:r>
      <w:r>
        <w:rPr>
          <w:rFonts w:eastAsia="方正仿宋_GBK" w:hint="eastAsia"/>
          <w:sz w:val="32"/>
          <w:szCs w:val="32"/>
        </w:rPr>
        <w:t>；项目支出</w:t>
      </w:r>
      <w:r>
        <w:rPr>
          <w:rFonts w:eastAsia="方正仿宋_GBK" w:hint="eastAsia"/>
          <w:sz w:val="32"/>
          <w:szCs w:val="32"/>
          <w:lang w:val="en-US" w:eastAsia="zh-CN"/>
        </w:rPr>
        <w:t>22</w:t>
      </w:r>
      <w:r>
        <w:rPr>
          <w:rFonts w:eastAsia="方正仿宋_GBK" w:hint="eastAsia"/>
          <w:sz w:val="32"/>
          <w:szCs w:val="32"/>
        </w:rPr>
        <w:t>万元，占</w:t>
      </w:r>
      <w:r>
        <w:rPr>
          <w:rFonts w:eastAsia="方正仿宋_GBK" w:hint="eastAsia"/>
          <w:sz w:val="32"/>
          <w:szCs w:val="32"/>
          <w:lang w:val="en-US" w:eastAsia="zh-CN"/>
        </w:rPr>
        <w:t>1.54</w:t>
      </w:r>
      <w:r>
        <w:rPr>
          <w:rFonts w:eastAsia="方正仿宋_GBK"/>
          <w:sz w:val="32"/>
          <w:szCs w:val="32"/>
        </w:rPr>
        <w:t>%</w:t>
      </w:r>
      <w:r>
        <w:rPr>
          <w:rFonts w:eastAsia="方正仿宋_GBK" w:hint="eastAsia"/>
          <w:sz w:val="32"/>
          <w:szCs w:val="32"/>
        </w:rPr>
        <w:t>。</w:t>
      </w:r>
    </w:p>
    <w:p>
      <w:pPr>
        <w:pStyle w:val="19"/>
        <w:spacing w:line="560" w:lineRule="exact"/>
        <w:rPr>
          <w:rFonts w:eastAsia="宋体" w:hint="eastAsia"/>
          <w:sz w:val="32"/>
          <w:szCs w:val="32"/>
          <w:lang w:eastAsia="zh-CN"/>
        </w:rPr>
      </w:pPr>
      <w:r>
        <w:rPr>
          <w:rFonts w:eastAsia="宋体" w:hint="eastAsia"/>
          <w:sz w:val="32"/>
          <w:szCs w:val="32"/>
          <w:lang w:eastAsia="zh-CN"/>
        </w:rPr>
        <w:drawing>
          <wp:anchor distT="0" distB="0" distL="114300" distR="114300" simplePos="0" relativeHeight="16" behindDoc="1" locked="0" layoutInCell="1" hidden="0" allowOverlap="1">
            <wp:simplePos x="0" y="0"/>
            <wp:positionH relativeFrom="column">
              <wp:posOffset>1186180</wp:posOffset>
            </wp:positionH>
            <wp:positionV relativeFrom="paragraph">
              <wp:posOffset>201295</wp:posOffset>
            </wp:positionV>
            <wp:extent cx="2834640" cy="2940050"/>
            <wp:effectExtent l="0" t="0" r="0" b="0"/>
            <wp:wrapTopAndBottom/>
            <wp:docPr id="7" name="图表 3"/>
            <wp:cNvGraphicFramePr>
              <a:graphicFrameLocks noChangeAspect="0"/>
            </wp:cNvGraphicFramePr>
            <a:graphic>
              <a:graphicData uri="http://schemas.openxmlformats.org/drawingml/2006/picture">
                <pic:pic>
                  <pic:nvPicPr>
                    <pic:cNvPr id="9" name="图表 3 9"/>
                    <pic:cNvPicPr/>
                  </pic:nvPicPr>
                  <pic:blipFill>
                    <a:blip r:embed="rId4"/>
                    <a:stretch>
                      <a:fillRect/>
                    </a:stretch>
                  </pic:blipFill>
                  <pic:spPr>
                    <a:xfrm rot="0">
                      <a:off x="0" y="0"/>
                      <a:ext cx="2834640" cy="2940050"/>
                    </a:xfrm>
                    <a:prstGeom prst="rect"/>
                    <a:noFill/>
                    <a:ln w="9525" cmpd="sng" cap="flat">
                      <a:solidFill>
                        <a:srgbClr val="000000"/>
                      </a:solidFill>
                      <a:prstDash val="solid"/>
                      <a:miter/>
                    </a:ln>
                  </pic:spPr>
                </pic:pic>
              </a:graphicData>
            </a:graphic>
          </wp:anchor>
        </w:drawing>
      </w:r>
    </w:p>
    <w:p>
      <w:pPr>
        <w:pStyle w:val="19"/>
        <w:spacing w:line="560" w:lineRule="exact"/>
        <w:rPr>
          <w:sz w:val="32"/>
          <w:szCs w:val="32"/>
        </w:rPr>
      </w:pPr>
    </w:p>
    <w:p>
      <w:pPr>
        <w:pStyle w:val="19"/>
        <w:spacing w:line="560" w:lineRule="exact"/>
        <w:rPr>
          <w:sz w:val="32"/>
          <w:szCs w:val="32"/>
        </w:rPr>
      </w:pPr>
    </w:p>
    <w:p>
      <w:pPr>
        <w:pStyle w:val="19"/>
        <w:spacing w:line="560" w:lineRule="exact"/>
        <w:rPr>
          <w:sz w:val="32"/>
          <w:szCs w:val="32"/>
        </w:rPr>
      </w:pPr>
    </w:p>
    <w:p>
      <w:pPr>
        <w:pStyle w:val="19"/>
        <w:spacing w:line="560" w:lineRule="exact"/>
        <w:rPr>
          <w:sz w:val="32"/>
          <w:szCs w:val="32"/>
        </w:rPr>
      </w:pPr>
    </w:p>
    <w:p>
      <w:pPr>
        <w:pStyle w:val="19"/>
        <w:spacing w:line="560" w:lineRule="exact"/>
        <w:rPr>
          <w:sz w:val="32"/>
          <w:szCs w:val="32"/>
        </w:rPr>
      </w:pPr>
    </w:p>
    <w:p>
      <w:pPr>
        <w:pStyle w:val="19"/>
        <w:spacing w:line="560" w:lineRule="exact"/>
        <w:rPr>
          <w:sz w:val="32"/>
          <w:szCs w:val="32"/>
        </w:rPr>
      </w:pPr>
    </w:p>
    <w:p>
      <w:pPr>
        <w:pStyle w:val="19"/>
        <w:spacing w:line="560" w:lineRule="exact"/>
        <w:rPr>
          <w:sz w:val="32"/>
          <w:szCs w:val="32"/>
        </w:rPr>
      </w:pPr>
    </w:p>
    <w:p>
      <w:pPr>
        <w:pStyle w:val="19"/>
        <w:spacing w:line="560" w:lineRule="exact"/>
        <w:ind w:firstLineChars="200" w:firstLine="640"/>
        <w:rPr>
          <w:rFonts w:eastAsia="方正黑体_GBK"/>
          <w:sz w:val="32"/>
          <w:szCs w:val="32"/>
        </w:rPr>
      </w:pPr>
    </w:p>
    <w:p>
      <w:pPr>
        <w:pStyle w:val="19"/>
        <w:spacing w:line="560" w:lineRule="exact"/>
        <w:ind w:firstLineChars="200" w:firstLine="640"/>
        <w:rPr>
          <w:rFonts w:eastAsia="方正黑体_GBK"/>
          <w:sz w:val="32"/>
          <w:szCs w:val="32"/>
        </w:rPr>
      </w:pPr>
    </w:p>
    <w:p>
      <w:pPr>
        <w:pStyle w:val="19"/>
        <w:spacing w:line="560" w:lineRule="exact"/>
        <w:ind w:firstLineChars="200" w:firstLine="640"/>
        <w:rPr>
          <w:rFonts w:eastAsia="方正黑体_GBK"/>
          <w:sz w:val="32"/>
          <w:szCs w:val="32"/>
        </w:rPr>
      </w:pPr>
    </w:p>
    <w:p>
      <w:pPr>
        <w:pStyle w:val="19"/>
        <w:spacing w:line="560" w:lineRule="exact"/>
        <w:ind w:firstLineChars="200" w:firstLine="640"/>
        <w:rPr>
          <w:rFonts w:eastAsia="方正黑体_GBK"/>
          <w:sz w:val="32"/>
          <w:szCs w:val="32"/>
        </w:rPr>
      </w:pPr>
      <w:r>
        <w:rPr>
          <w:rFonts w:eastAsia="方正黑体_GBK" w:hint="eastAsia"/>
          <w:sz w:val="32"/>
          <w:szCs w:val="32"/>
        </w:rPr>
        <w:t>四、关于吴江</w:t>
      </w:r>
      <w:r>
        <w:rPr>
          <w:rFonts w:eastAsia="方正黑体_GBK"/>
          <w:sz w:val="32"/>
          <w:szCs w:val="32"/>
        </w:rPr>
        <w:t>海关</w:t>
      </w:r>
      <w:r>
        <w:rPr>
          <w:rFonts w:eastAsia="方正黑体_GBK" w:hint="eastAsia"/>
          <w:sz w:val="32"/>
          <w:szCs w:val="32"/>
        </w:rPr>
        <w:t>综合技术服务中心2025年财政拨款收支预算情况的总体说明</w:t>
      </w:r>
    </w:p>
    <w:p>
      <w:pPr>
        <w:spacing w:line="560" w:lineRule="exact"/>
        <w:ind w:firstLineChars="200" w:firstLine="420"/>
        <w:rPr>
          <w:rFonts w:ascii="Times New Roman" w:eastAsia="方正仿宋_GBK" w:hAnsi="Times New Roman"/>
          <w:sz w:val="32"/>
          <w:szCs w:val="32"/>
        </w:rPr>
      </w:pPr>
      <w:r>
        <w:rPr>
          <w:rFonts w:ascii="Times New Roman" w:eastAsia="宋体" w:hAnsi="Times New Roman" w:hint="eastAsia"/>
          <w:lang w:eastAsia="zh-CN"/>
        </w:rPr>
        <w:drawing>
          <wp:anchor distT="0" distB="0" distL="114300" distR="114300" simplePos="0" relativeHeight="17" behindDoc="1" locked="0" layoutInCell="1" hidden="0" allowOverlap="1">
            <wp:simplePos x="0" y="0"/>
            <wp:positionH relativeFrom="column">
              <wp:posOffset>183515</wp:posOffset>
            </wp:positionH>
            <wp:positionV relativeFrom="paragraph">
              <wp:posOffset>2228850</wp:posOffset>
            </wp:positionV>
            <wp:extent cx="5079999" cy="3809999"/>
            <wp:effectExtent l="0" t="0" r="0" b="0"/>
            <wp:wrapTopAndBottom/>
            <wp:docPr id="10" name="图表 4"/>
            <wp:cNvGraphicFramePr>
              <a:graphicFrameLocks noChangeAspect="0"/>
            </wp:cNvGraphicFramePr>
            <a:graphic>
              <a:graphicData uri="http://schemas.openxmlformats.org/drawingml/2006/picture">
                <pic:pic>
                  <pic:nvPicPr>
                    <pic:cNvPr id="12" name="图表 4 12"/>
                    <pic:cNvPicPr/>
                  </pic:nvPicPr>
                  <pic:blipFill>
                    <a:blip r:embed="rId5"/>
                    <a:stretch>
                      <a:fillRect/>
                    </a:stretch>
                  </pic:blipFill>
                  <pic:spPr>
                    <a:xfrm rot="0">
                      <a:off x="0" y="0"/>
                      <a:ext cx="5079999" cy="3809999"/>
                    </a:xfrm>
                    <a:prstGeom prst="rect"/>
                    <a:noFill/>
                    <a:ln w="9525" cmpd="sng" cap="flat">
                      <a:solidFill>
                        <a:srgbClr val="000000"/>
                      </a:solidFill>
                      <a:prstDash val="solid"/>
                      <a:miter/>
                    </a:ln>
                  </pic:spPr>
                </pic:pic>
              </a:graphicData>
            </a:graphic>
          </wp:anchor>
        </w:drawing>
      </w:r>
      <w:r>
        <w:rPr>
          <w:rFonts w:eastAsia="方正仿宋_GBK" w:hint="eastAsia"/>
          <w:sz w:val="32"/>
          <w:szCs w:val="32"/>
        </w:rPr>
        <w:t>吴江海关综合技术服务中心</w:t>
      </w:r>
      <w:r>
        <w:rPr>
          <w:rFonts w:ascii="Times New Roman" w:eastAsia="方正仿宋_GBK" w:hAnsi="Times New Roman" w:hint="eastAsia"/>
          <w:sz w:val="32"/>
          <w:szCs w:val="32"/>
        </w:rPr>
        <w:t>2025年财政拨款收支总预算</w:t>
      </w:r>
      <w:r>
        <w:rPr>
          <w:rFonts w:ascii="Times New Roman" w:eastAsia="方正仿宋_GBK" w:hAnsi="Times New Roman" w:hint="eastAsia"/>
          <w:sz w:val="32"/>
          <w:szCs w:val="32"/>
          <w:lang w:val="en-US" w:eastAsia="zh-CN"/>
        </w:rPr>
        <w:t>348</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hint="eastAsia"/>
          <w:sz w:val="32"/>
          <w:szCs w:val="32"/>
          <w:lang w:val="en-US" w:eastAsia="zh-CN"/>
        </w:rPr>
        <w:t>348</w:t>
      </w:r>
      <w:r>
        <w:rPr>
          <w:rFonts w:ascii="Times New Roman" w:eastAsia="方正仿宋_GBK" w:hAnsi="Times New Roman" w:hint="eastAsia"/>
          <w:sz w:val="32"/>
          <w:szCs w:val="32"/>
        </w:rPr>
        <w:t>万元。支出包括：一般公共服务支出</w:t>
      </w:r>
      <w:r>
        <w:rPr>
          <w:rFonts w:ascii="Times New Roman" w:eastAsia="方正仿宋_GBK" w:hAnsi="Times New Roman" w:hint="eastAsia"/>
          <w:sz w:val="32"/>
          <w:szCs w:val="32"/>
          <w:lang w:val="en-US" w:eastAsia="zh-CN"/>
        </w:rPr>
        <w:t>258</w:t>
      </w:r>
      <w:r>
        <w:rPr>
          <w:rFonts w:ascii="Times New Roman" w:eastAsia="方正仿宋_GBK" w:hAnsi="Times New Roman" w:hint="eastAsia"/>
          <w:sz w:val="32"/>
          <w:szCs w:val="32"/>
        </w:rPr>
        <w:t>万元、住房保障支出</w:t>
      </w:r>
      <w:r>
        <w:rPr>
          <w:rFonts w:ascii="Times New Roman" w:eastAsia="方正仿宋_GBK" w:hAnsi="Times New Roman" w:hint="eastAsia"/>
          <w:sz w:val="32"/>
          <w:szCs w:val="32"/>
          <w:lang w:val="en-US" w:eastAsia="zh-CN"/>
        </w:rPr>
        <w:t>90</w:t>
      </w:r>
      <w:r>
        <w:rPr>
          <w:rFonts w:ascii="Times New Roman" w:eastAsia="方正仿宋_GBK" w:hAnsi="Times New Roman" w:hint="eastAsia"/>
          <w:sz w:val="32"/>
          <w:szCs w:val="32"/>
        </w:rPr>
        <w:t>万元。</w:t>
      </w:r>
    </w:p>
    <w:p>
      <w:pPr>
        <w:spacing w:line="560" w:lineRule="exact"/>
        <w:ind w:firstLineChars="200" w:firstLine="420"/>
        <w:rPr>
          <w:rFonts w:ascii="Times New Roman" w:hAnsi="Times New Roman"/>
        </w:rPr>
      </w:pPr>
    </w:p>
    <w:p>
      <w:pPr>
        <w:spacing w:line="560" w:lineRule="exact"/>
        <w:ind w:firstLineChars="200" w:firstLine="420"/>
        <w:rPr>
          <w:rFonts w:ascii="Times New Roman" w:eastAsia="宋体" w:hAnsi="Times New Roman" w:hint="eastAsia"/>
          <w:lang w:eastAsia="zh-CN"/>
        </w:rPr>
      </w:pPr>
    </w:p>
    <w:p>
      <w:pPr>
        <w:spacing w:line="560" w:lineRule="exact"/>
        <w:ind w:firstLineChars="200" w:firstLine="420"/>
        <w:rPr>
          <w:rFonts w:ascii="Times New Roman" w:hAnsi="Times New Roman"/>
        </w:rPr>
      </w:pPr>
    </w:p>
    <w:p>
      <w:pPr>
        <w:spacing w:line="560" w:lineRule="exact"/>
        <w:ind w:firstLineChars="200" w:firstLine="420"/>
        <w:rPr>
          <w:rFonts w:ascii="Times New Roman" w:hAnsi="Times New Roman"/>
        </w:rPr>
      </w:pPr>
    </w:p>
    <w:p>
      <w:pPr>
        <w:spacing w:line="560" w:lineRule="exact"/>
        <w:ind w:firstLineChars="200" w:firstLine="420"/>
        <w:rPr>
          <w:rFonts w:ascii="Times New Roman" w:hAnsi="Times New Roman"/>
        </w:rPr>
      </w:pP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w:t>
      </w:r>
      <w:r>
        <w:rPr>
          <w:rFonts w:eastAsia="方正黑体_GBK" w:hint="eastAsia"/>
          <w:sz w:val="32"/>
          <w:szCs w:val="32"/>
        </w:rPr>
        <w:t>吴江</w:t>
      </w:r>
      <w:r>
        <w:rPr>
          <w:rFonts w:eastAsia="方正黑体_GBK"/>
          <w:sz w:val="32"/>
          <w:szCs w:val="32"/>
        </w:rPr>
        <w:t>海关</w:t>
      </w:r>
      <w:r>
        <w:rPr>
          <w:rFonts w:eastAsia="方正黑体_GBK" w:hint="eastAsia"/>
          <w:sz w:val="32"/>
          <w:szCs w:val="32"/>
        </w:rPr>
        <w:t>综合技术服务中心</w:t>
      </w:r>
      <w:r>
        <w:rPr>
          <w:rFonts w:ascii="Times New Roman" w:eastAsia="方正黑体_GBK" w:hAnsi="Times New Roman" w:hint="eastAsia"/>
          <w:sz w:val="32"/>
          <w:szCs w:val="32"/>
        </w:rPr>
        <w:t>2025年一般公共预算当年财政拨款情况说明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420"/>
        <w:rPr>
          <w:rFonts w:ascii="Times New Roman" w:eastAsia="方正仿宋_GBK" w:hAnsi="Times New Roman"/>
          <w:sz w:val="32"/>
          <w:szCs w:val="32"/>
        </w:rPr>
      </w:pPr>
      <w:r>
        <w:rPr>
          <w:rFonts w:ascii="Times New Roman" w:eastAsia="宋体" w:hAnsi="Times New Roman" w:hint="eastAsia"/>
          <w:lang w:eastAsia="zh-CN"/>
        </w:rPr>
        <w:drawing>
          <wp:anchor distT="0" distB="0" distL="114300" distR="114300" simplePos="0" relativeHeight="18" behindDoc="1" locked="0" layoutInCell="1" hidden="0" allowOverlap="1">
            <wp:simplePos x="0" y="0"/>
            <wp:positionH relativeFrom="column">
              <wp:posOffset>59055</wp:posOffset>
            </wp:positionH>
            <wp:positionV relativeFrom="paragraph">
              <wp:posOffset>4323080</wp:posOffset>
            </wp:positionV>
            <wp:extent cx="5079999" cy="3809999"/>
            <wp:effectExtent l="0" t="0" r="0" b="0"/>
            <wp:wrapTopAndBottom/>
            <wp:docPr id="13" name="图表 5"/>
            <wp:cNvGraphicFramePr>
              <a:graphicFrameLocks noChangeAspect="0"/>
            </wp:cNvGraphicFramePr>
            <a:graphic>
              <a:graphicData uri="http://schemas.openxmlformats.org/drawingml/2006/picture">
                <pic:pic>
                  <pic:nvPicPr>
                    <pic:cNvPr id="14" name="图表 5 14"/>
                    <pic:cNvPicPr/>
                  </pic:nvPicPr>
                  <pic:blipFill>
                    <a:blip r:embed="rId6"/>
                    <a:stretch>
                      <a:fillRect/>
                    </a:stretch>
                  </pic:blipFill>
                  <pic:spPr>
                    <a:xfrm rot="0">
                      <a:off x="0" y="0"/>
                      <a:ext cx="5079999" cy="3809999"/>
                    </a:xfrm>
                    <a:prstGeom prst="rect"/>
                    <a:noFill/>
                    <a:ln w="9525" cmpd="sng" cap="flat">
                      <a:solidFill>
                        <a:srgbClr val="000000"/>
                      </a:solidFill>
                      <a:prstDash val="solid"/>
                      <a:miter/>
                    </a:ln>
                  </pic:spPr>
                </pic:pic>
              </a:graphicData>
            </a:graphic>
          </wp:anchor>
        </w:drawing>
      </w:r>
      <w:r>
        <w:rPr>
          <w:rFonts w:eastAsia="方正仿宋_GBK" w:hint="eastAsia"/>
          <w:sz w:val="32"/>
          <w:szCs w:val="32"/>
        </w:rPr>
        <w:t>吴江海关综合技术服务中心</w:t>
      </w:r>
      <w:r>
        <w:rPr>
          <w:rFonts w:ascii="Times New Roman" w:eastAsia="方正仿宋_GBK" w:hAnsi="Times New Roman" w:hint="eastAsia"/>
          <w:sz w:val="32"/>
          <w:szCs w:val="32"/>
        </w:rPr>
        <w:t>2025年一般公共预算当年财政拨款预算</w:t>
      </w:r>
      <w:r>
        <w:rPr>
          <w:rFonts w:ascii="Times New Roman" w:eastAsia="方正仿宋_GBK" w:hAnsi="Times New Roman" w:hint="eastAsia"/>
          <w:sz w:val="32"/>
          <w:szCs w:val="32"/>
          <w:lang w:val="en-US" w:eastAsia="zh-CN"/>
        </w:rPr>
        <w:t>348</w:t>
      </w:r>
      <w:r>
        <w:rPr>
          <w:rFonts w:ascii="Times New Roman" w:eastAsia="方正仿宋_GBK" w:hAnsi="Times New Roman" w:hint="eastAsia"/>
          <w:sz w:val="32"/>
          <w:szCs w:val="32"/>
        </w:rPr>
        <w:t>万元，比</w:t>
      </w:r>
      <w:r>
        <w:rPr>
          <w:rFonts w:ascii="Times New Roman" w:eastAsia="方正仿宋_GBK" w:hAnsi="Times New Roman" w:hint="eastAsia"/>
          <w:sz w:val="32"/>
          <w:szCs w:val="32"/>
          <w:lang w:eastAsia="zh-CN"/>
        </w:rPr>
        <w:t>2024年</w:t>
      </w:r>
      <w:r>
        <w:rPr>
          <w:rFonts w:ascii="Times New Roman" w:eastAsia="方正仿宋_GBK" w:hAnsi="Times New Roman" w:hint="eastAsia"/>
          <w:sz w:val="32"/>
          <w:szCs w:val="32"/>
        </w:rPr>
        <w:t>执行数405.5</w:t>
      </w:r>
      <w:r>
        <w:rPr>
          <w:rFonts w:ascii="Times New Roman" w:eastAsia="方正仿宋_GBK" w:hAnsi="Times New Roman" w:hint="eastAsia"/>
          <w:sz w:val="32"/>
          <w:szCs w:val="32"/>
          <w:lang w:eastAsia="zh-CN"/>
        </w:rPr>
        <w:t>减少57.5</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14.18</w:t>
      </w:r>
      <w:r>
        <w:rPr>
          <w:rFonts w:ascii="Times New Roman" w:eastAsia="方正仿宋_GBK" w:hAnsi="Times New Roman" w:hint="eastAsia"/>
          <w:sz w:val="32"/>
          <w:szCs w:val="32"/>
        </w:rPr>
        <w:t>%。2025年，按照党中央、国务院关于过紧日子的有关要求，全面加强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2025年部门预算中，一般公共预算当年财政拨款用于以下方面：一般公共服务（类）支出</w:t>
      </w:r>
      <w:r>
        <w:rPr>
          <w:rFonts w:ascii="Times New Roman" w:eastAsia="方正仿宋_GBK" w:hAnsi="Times New Roman" w:hint="eastAsia"/>
          <w:sz w:val="32"/>
          <w:szCs w:val="32"/>
          <w:lang w:val="en-US" w:eastAsia="zh-CN"/>
        </w:rPr>
        <w:t>258</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74.14</w:t>
      </w:r>
      <w:r>
        <w:rPr>
          <w:rFonts w:ascii="Times New Roman" w:eastAsia="方正仿宋_GBK" w:hAnsi="Times New Roman" w:hint="eastAsia"/>
          <w:sz w:val="32"/>
          <w:szCs w:val="32"/>
        </w:rPr>
        <w:t>%；住房保障（类）支出</w:t>
      </w:r>
      <w:r>
        <w:rPr>
          <w:rFonts w:ascii="Times New Roman" w:eastAsia="方正仿宋_GBK" w:hAnsi="Times New Roman" w:hint="eastAsia"/>
          <w:sz w:val="32"/>
          <w:szCs w:val="32"/>
          <w:lang w:val="en-US" w:eastAsia="zh-CN"/>
        </w:rPr>
        <w:t>90</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25.86</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hint="eastAsia"/>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1．一般公共服务支出（类）海关事务（款）2025年预算</w:t>
      </w:r>
      <w:r>
        <w:rPr>
          <w:rFonts w:ascii="Times New Roman" w:eastAsia="方正仿宋_GBK" w:hAnsi="Times New Roman" w:hint="eastAsia"/>
          <w:sz w:val="32"/>
          <w:szCs w:val="32"/>
          <w:lang w:val="en-US" w:eastAsia="zh-CN"/>
        </w:rPr>
        <w:t>258</w:t>
      </w:r>
      <w:r>
        <w:rPr>
          <w:rFonts w:ascii="Times New Roman" w:eastAsia="方正仿宋_GBK" w:hAnsi="Times New Roman" w:hint="eastAsia"/>
          <w:sz w:val="32"/>
          <w:szCs w:val="32"/>
        </w:rPr>
        <w:t>万元，比</w:t>
      </w:r>
      <w:r>
        <w:rPr>
          <w:rFonts w:ascii="Times New Roman" w:eastAsia="方正仿宋_GBK" w:hAnsi="Times New Roman" w:hint="eastAsia"/>
          <w:sz w:val="32"/>
          <w:szCs w:val="32"/>
          <w:lang w:eastAsia="zh-CN"/>
        </w:rPr>
        <w:t>2024年</w:t>
      </w:r>
      <w:r>
        <w:rPr>
          <w:rFonts w:ascii="Times New Roman" w:eastAsia="方正仿宋_GBK" w:hAnsi="Times New Roman" w:hint="eastAsia"/>
          <w:sz w:val="32"/>
          <w:szCs w:val="32"/>
        </w:rPr>
        <w:t>执行数295.5</w:t>
      </w:r>
      <w:r>
        <w:rPr>
          <w:rFonts w:ascii="Times New Roman" w:eastAsia="方正仿宋_GBK" w:hAnsi="Times New Roman" w:hint="eastAsia"/>
          <w:sz w:val="32"/>
          <w:szCs w:val="32"/>
          <w:lang w:eastAsia="zh-CN"/>
        </w:rPr>
        <w:t>减少37.5</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12.69</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（1）事业运行（项）2025年预算</w:t>
      </w:r>
      <w:r>
        <w:rPr>
          <w:rFonts w:ascii="Times New Roman" w:eastAsia="方正仿宋_GBK" w:hAnsi="Times New Roman" w:hint="eastAsia"/>
          <w:sz w:val="32"/>
          <w:szCs w:val="32"/>
          <w:lang w:val="en-US" w:eastAsia="zh-CN"/>
        </w:rPr>
        <w:t>236</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较上年</w:t>
      </w:r>
      <w:r>
        <w:rPr>
          <w:rFonts w:ascii="Times New Roman" w:eastAsia="方正仿宋_GBK" w:hAnsi="Times New Roman" w:hint="eastAsia"/>
          <w:sz w:val="32"/>
          <w:szCs w:val="32"/>
        </w:rPr>
        <w:t>执行数</w:t>
      </w:r>
      <w:r>
        <w:rPr>
          <w:rFonts w:ascii="Times New Roman" w:eastAsia="方正仿宋_GBK" w:hAnsi="Times New Roman" w:hint="eastAsia"/>
          <w:sz w:val="32"/>
          <w:szCs w:val="32"/>
          <w:lang w:val="en-US" w:eastAsia="zh-CN"/>
        </w:rPr>
        <w:t>225万元增加11万元</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（2）海关关务（项）2025年预算</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万元，比</w:t>
      </w:r>
      <w:r>
        <w:rPr>
          <w:rFonts w:ascii="Times New Roman" w:eastAsia="方正仿宋_GBK" w:hAnsi="Times New Roman" w:hint="eastAsia"/>
          <w:sz w:val="32"/>
          <w:szCs w:val="32"/>
          <w:lang w:eastAsia="zh-CN"/>
        </w:rPr>
        <w:t>上年</w:t>
      </w:r>
      <w:r>
        <w:rPr>
          <w:rFonts w:ascii="Times New Roman" w:eastAsia="方正仿宋_GBK" w:hAnsi="Times New Roman" w:hint="eastAsia"/>
          <w:sz w:val="32"/>
          <w:szCs w:val="32"/>
        </w:rPr>
        <w:t>执行数</w:t>
      </w:r>
      <w:r>
        <w:rPr>
          <w:rFonts w:ascii="Times New Roman" w:eastAsia="方正仿宋_GBK" w:hAnsi="Times New Roman" w:hint="eastAsia"/>
          <w:sz w:val="32"/>
          <w:szCs w:val="32"/>
          <w:lang w:val="en-US" w:eastAsia="zh-CN"/>
        </w:rPr>
        <w:t>51.5万元减少48.5</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94.17</w:t>
      </w:r>
      <w:r>
        <w:rPr>
          <w:rFonts w:ascii="Times New Roman" w:eastAsia="方正仿宋_GBK" w:hAnsi="Times New Roman" w:hint="eastAsia"/>
          <w:sz w:val="32"/>
          <w:szCs w:val="32"/>
        </w:rPr>
        <w:t>%。主要是海关仪器设备购置及能力保障专项</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（3）检验检疫（项）2025年预算19万元，</w:t>
      </w:r>
      <w:r>
        <w:rPr>
          <w:rFonts w:ascii="Times New Roman" w:eastAsia="方正仿宋_GBK" w:hAnsi="Times New Roman"/>
          <w:sz w:val="32"/>
          <w:szCs w:val="32"/>
          <w:lang w:eastAsia="zh-CN"/>
        </w:rPr>
        <w:t>同</w:t>
      </w:r>
      <w:r>
        <w:rPr>
          <w:rFonts w:ascii="Times New Roman" w:eastAsia="方正仿宋_GBK" w:hAnsi="Times New Roman" w:hint="eastAsia"/>
          <w:sz w:val="32"/>
          <w:szCs w:val="32"/>
          <w:lang w:eastAsia="zh-CN"/>
        </w:rPr>
        <w:t>上年</w:t>
      </w:r>
      <w:r>
        <w:rPr>
          <w:rFonts w:ascii="Times New Roman" w:eastAsia="方正仿宋_GBK" w:hAnsi="Times New Roman" w:hint="eastAsia"/>
          <w:sz w:val="32"/>
          <w:szCs w:val="32"/>
        </w:rPr>
        <w:t>执行数</w:t>
      </w:r>
      <w:r>
        <w:rPr>
          <w:rFonts w:ascii="Times New Roman" w:eastAsia="方正仿宋_GBK" w:hAnsi="Times New Roman"/>
          <w:sz w:val="32"/>
          <w:szCs w:val="32"/>
        </w:rPr>
        <w:t>19万元持平</w:t>
      </w:r>
      <w:bookmarkStart w:id="0" w:name="_GoBack"/>
      <w:bookmarkEnd w:id="0"/>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2．住房保障支出（类）住房改革支出（款）2025年预算</w:t>
      </w:r>
      <w:r>
        <w:rPr>
          <w:rFonts w:ascii="Times New Roman" w:eastAsia="方正仿宋_GBK" w:hAnsi="Times New Roman" w:hint="eastAsia"/>
          <w:sz w:val="32"/>
          <w:szCs w:val="32"/>
          <w:lang w:val="en-US" w:eastAsia="zh-CN"/>
        </w:rPr>
        <w:t>90</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较上年年</w:t>
      </w:r>
      <w:r>
        <w:rPr>
          <w:rFonts w:ascii="Times New Roman" w:eastAsia="方正仿宋_GBK" w:hAnsi="Times New Roman" w:hint="eastAsia"/>
          <w:sz w:val="32"/>
          <w:szCs w:val="32"/>
        </w:rPr>
        <w:t>执行数</w:t>
      </w:r>
      <w:r>
        <w:rPr>
          <w:rFonts w:ascii="Times New Roman" w:eastAsia="方正仿宋_GBK" w:hAnsi="Times New Roman" w:hint="eastAsia"/>
          <w:sz w:val="32"/>
          <w:szCs w:val="32"/>
          <w:lang w:val="en-US" w:eastAsia="zh-CN"/>
        </w:rPr>
        <w:t>110万元减少20万元</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（1）住房公积金（项）2025年预算20万元，与</w:t>
      </w:r>
      <w:r>
        <w:rPr>
          <w:rFonts w:ascii="Times New Roman" w:eastAsia="方正仿宋_GBK" w:hAnsi="Times New Roman" w:hint="eastAsia"/>
          <w:sz w:val="32"/>
          <w:szCs w:val="32"/>
          <w:lang w:eastAsia="zh-CN"/>
        </w:rPr>
        <w:t>2024年</w:t>
      </w:r>
      <w:r>
        <w:rPr>
          <w:rFonts w:ascii="Times New Roman" w:eastAsia="方正仿宋_GBK" w:hAnsi="Times New Roman" w:hint="eastAsia"/>
          <w:sz w:val="32"/>
          <w:szCs w:val="32"/>
        </w:rPr>
        <w:t>执行数持平。</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（2）购房补贴（项）2025年预算</w:t>
      </w:r>
      <w:r>
        <w:rPr>
          <w:rFonts w:ascii="Times New Roman" w:eastAsia="方正仿宋_GBK" w:hAnsi="Times New Roman" w:hint="eastAsia"/>
          <w:sz w:val="32"/>
          <w:szCs w:val="32"/>
          <w:lang w:val="en-US" w:eastAsia="zh-CN"/>
        </w:rPr>
        <w:t>7</w:t>
      </w:r>
      <w:r>
        <w:rPr>
          <w:rFonts w:ascii="Times New Roman" w:eastAsia="方正仿宋_GBK" w:hAnsi="Times New Roman" w:hint="eastAsia"/>
          <w:sz w:val="32"/>
          <w:szCs w:val="32"/>
        </w:rPr>
        <w:t>0万元，</w:t>
      </w:r>
      <w:r>
        <w:rPr>
          <w:rFonts w:ascii="Times New Roman" w:eastAsia="方正仿宋_GBK" w:hAnsi="Times New Roman" w:hint="eastAsia"/>
          <w:sz w:val="32"/>
          <w:szCs w:val="32"/>
          <w:lang w:eastAsia="zh-CN"/>
        </w:rPr>
        <w:t>较上年</w:t>
      </w:r>
      <w:r>
        <w:rPr>
          <w:rFonts w:ascii="Times New Roman" w:eastAsia="方正仿宋_GBK" w:hAnsi="Times New Roman" w:hint="eastAsia"/>
          <w:sz w:val="32"/>
          <w:szCs w:val="32"/>
        </w:rPr>
        <w:t>执行数</w:t>
      </w:r>
      <w:r>
        <w:rPr>
          <w:rFonts w:ascii="Times New Roman" w:eastAsia="方正仿宋_GBK" w:hAnsi="Times New Roman" w:hint="eastAsia"/>
          <w:sz w:val="32"/>
          <w:szCs w:val="32"/>
          <w:lang w:val="en-US" w:eastAsia="zh-CN"/>
        </w:rPr>
        <w:t>90万元，减少20万元</w:t>
      </w:r>
      <w:r>
        <w:rPr>
          <w:rFonts w:ascii="Times New Roman" w:eastAsia="方正仿宋_GBK" w:hAnsi="Times New Roman" w:hint="eastAsia"/>
          <w:sz w:val="32"/>
          <w:szCs w:val="32"/>
        </w:rPr>
        <w:t>。</w:t>
      </w:r>
    </w:p>
    <w:p>
      <w:pPr>
        <w:pStyle w:val="19"/>
        <w:spacing w:line="560" w:lineRule="exact"/>
        <w:ind w:firstLineChars="200" w:firstLine="640"/>
        <w:rPr>
          <w:rFonts w:eastAsia="方正黑体_GBK"/>
          <w:sz w:val="32"/>
          <w:szCs w:val="32"/>
        </w:rPr>
      </w:pPr>
      <w:r>
        <w:rPr>
          <w:rFonts w:eastAsia="方正黑体_GBK" w:hint="eastAsia"/>
          <w:sz w:val="32"/>
          <w:szCs w:val="32"/>
        </w:rPr>
        <w:t>六、关于吴江</w:t>
      </w:r>
      <w:r>
        <w:rPr>
          <w:rFonts w:eastAsia="方正黑体_GBK"/>
          <w:sz w:val="32"/>
          <w:szCs w:val="32"/>
        </w:rPr>
        <w:t>海关</w:t>
      </w:r>
      <w:r>
        <w:rPr>
          <w:rFonts w:eastAsia="方正黑体_GBK" w:hint="eastAsia"/>
          <w:sz w:val="32"/>
          <w:szCs w:val="32"/>
        </w:rPr>
        <w:t>综合技术服务中心2025年一般公共预算基本支出情况说明</w:t>
      </w:r>
    </w:p>
    <w:p>
      <w:pPr>
        <w:spacing w:line="560" w:lineRule="exact"/>
        <w:ind w:firstLineChars="200" w:firstLine="640"/>
        <w:rPr>
          <w:rFonts w:ascii="Times New Roman" w:eastAsia="方正仿宋_GBK" w:hAnsi="Times New Roman"/>
          <w:sz w:val="32"/>
          <w:szCs w:val="32"/>
        </w:rPr>
      </w:pPr>
      <w:r>
        <w:rPr>
          <w:rFonts w:eastAsia="方正仿宋_GBK" w:hint="eastAsia"/>
          <w:sz w:val="32"/>
          <w:szCs w:val="32"/>
        </w:rPr>
        <w:t>吴江海关综合技术服务中心</w:t>
      </w:r>
      <w:r>
        <w:rPr>
          <w:rFonts w:ascii="Times New Roman" w:eastAsia="方正仿宋_GBK" w:hAnsi="Times New Roman" w:hint="eastAsia"/>
          <w:sz w:val="32"/>
          <w:szCs w:val="32"/>
        </w:rPr>
        <w:t>2025年一般公共预算基本支出</w:t>
      </w:r>
      <w:r>
        <w:rPr>
          <w:rFonts w:ascii="Times New Roman" w:eastAsia="方正仿宋_GBK" w:hAnsi="Times New Roman" w:hint="eastAsia"/>
          <w:sz w:val="32"/>
          <w:szCs w:val="32"/>
          <w:lang w:val="en-US" w:eastAsia="zh-CN"/>
        </w:rPr>
        <w:t>326</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hint="eastAsia"/>
          <w:sz w:val="32"/>
          <w:szCs w:val="32"/>
          <w:lang w:val="en-US" w:eastAsia="zh-CN"/>
        </w:rPr>
        <w:t>251</w:t>
      </w:r>
      <w:r>
        <w:rPr>
          <w:rFonts w:ascii="Times New Roman" w:eastAsia="方正仿宋_GBK" w:hAnsi="Times New Roman" w:hint="eastAsia"/>
          <w:sz w:val="32"/>
          <w:szCs w:val="32"/>
        </w:rPr>
        <w:t>万元，主要包括：基本工资、津贴补贴、绩效工资、住房公积金；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hint="eastAsia"/>
          <w:sz w:val="32"/>
          <w:szCs w:val="32"/>
          <w:lang w:val="en-US" w:eastAsia="zh-CN"/>
        </w:rPr>
        <w:t>75</w:t>
      </w:r>
      <w:r>
        <w:rPr>
          <w:rFonts w:ascii="Times New Roman" w:eastAsia="方正仿宋_GBK" w:hAnsi="Times New Roman" w:hint="eastAsia"/>
          <w:sz w:val="32"/>
          <w:szCs w:val="32"/>
        </w:rPr>
        <w:t>万元，主要包括：办公费、差旅费、维修（护）费、劳务费、委托业务费。</w:t>
      </w:r>
    </w:p>
    <w:p>
      <w:pPr>
        <w:pStyle w:val="19"/>
        <w:spacing w:line="560" w:lineRule="exact"/>
        <w:ind w:firstLineChars="200" w:firstLine="640"/>
        <w:rPr>
          <w:rFonts w:eastAsia="方正黑体_GBK"/>
          <w:sz w:val="32"/>
          <w:szCs w:val="32"/>
        </w:rPr>
      </w:pPr>
      <w:r>
        <w:rPr>
          <w:rFonts w:eastAsia="方正黑体_GBK" w:hint="eastAsia"/>
          <w:sz w:val="32"/>
          <w:szCs w:val="32"/>
        </w:rPr>
        <w:t>七、关于吴江</w:t>
      </w:r>
      <w:r>
        <w:rPr>
          <w:rFonts w:eastAsia="方正黑体_GBK"/>
          <w:sz w:val="32"/>
          <w:szCs w:val="32"/>
        </w:rPr>
        <w:t>海关</w:t>
      </w:r>
      <w:r>
        <w:rPr>
          <w:rFonts w:eastAsia="方正黑体_GBK" w:hint="eastAsia"/>
          <w:sz w:val="32"/>
          <w:szCs w:val="32"/>
        </w:rPr>
        <w:t>综合技术服务中心2025年财政拨款“三公”经费预算情况说明</w:t>
      </w:r>
    </w:p>
    <w:p>
      <w:pPr>
        <w:spacing w:line="560" w:lineRule="exact"/>
        <w:ind w:firstLineChars="200" w:firstLine="640"/>
        <w:rPr>
          <w:rFonts w:ascii="Times New Roman" w:eastAsia="宋体" w:hAnsi="Times New Roman"/>
          <w:sz w:val="32"/>
          <w:szCs w:val="32"/>
        </w:rPr>
      </w:pPr>
      <w:r>
        <w:rPr>
          <w:rFonts w:eastAsia="方正仿宋_GBK" w:hint="eastAsia"/>
          <w:sz w:val="32"/>
          <w:szCs w:val="32"/>
        </w:rPr>
        <w:t>吴江海关综合技术服务中心</w:t>
      </w:r>
      <w:r>
        <w:rPr>
          <w:rFonts w:ascii="Times New Roman" w:eastAsia="方正仿宋_GBK" w:hAnsi="Times New Roman" w:hint="eastAsia"/>
          <w:sz w:val="32"/>
          <w:szCs w:val="32"/>
        </w:rPr>
        <w:t>2025年财政拨款“三公”经费预算数为0万元，与</w:t>
      </w:r>
      <w:r>
        <w:rPr>
          <w:rFonts w:ascii="Times New Roman" w:eastAsia="方正仿宋_GBK" w:hAnsi="Times New Roman" w:hint="eastAsia"/>
          <w:sz w:val="32"/>
          <w:szCs w:val="32"/>
          <w:lang w:eastAsia="zh-CN"/>
        </w:rPr>
        <w:t>2024年</w:t>
      </w:r>
      <w:r>
        <w:rPr>
          <w:rFonts w:ascii="Times New Roman" w:eastAsia="方正仿宋_GBK" w:hAnsi="Times New Roman" w:hint="eastAsia"/>
          <w:sz w:val="32"/>
          <w:szCs w:val="32"/>
        </w:rPr>
        <w:t>预算数持平。其中：公务用车运行费0万元，与</w:t>
      </w:r>
      <w:r>
        <w:rPr>
          <w:rFonts w:ascii="Times New Roman" w:eastAsia="方正仿宋_GBK" w:hAnsi="Times New Roman" w:hint="eastAsia"/>
          <w:sz w:val="32"/>
          <w:szCs w:val="32"/>
          <w:lang w:eastAsia="zh-CN"/>
        </w:rPr>
        <w:t>2024年</w:t>
      </w:r>
      <w:r>
        <w:rPr>
          <w:rFonts w:ascii="Times New Roman" w:eastAsia="方正仿宋_GBK" w:hAnsi="Times New Roman" w:hint="eastAsia"/>
          <w:sz w:val="32"/>
          <w:szCs w:val="32"/>
        </w:rPr>
        <w:t>预算数持平；公务接待费0万元，与</w:t>
      </w:r>
      <w:r>
        <w:rPr>
          <w:rFonts w:ascii="Times New Roman" w:eastAsia="方正仿宋_GBK" w:hAnsi="Times New Roman" w:hint="eastAsia"/>
          <w:sz w:val="32"/>
          <w:szCs w:val="32"/>
          <w:lang w:eastAsia="zh-CN"/>
        </w:rPr>
        <w:t>2024年</w:t>
      </w:r>
      <w:r>
        <w:rPr>
          <w:rFonts w:ascii="Times New Roman" w:eastAsia="方正仿宋_GBK" w:hAnsi="Times New Roman" w:hint="eastAsia"/>
          <w:sz w:val="32"/>
          <w:szCs w:val="32"/>
        </w:rPr>
        <w:t>预算数持平。</w:t>
      </w:r>
      <w:r>
        <w:rPr>
          <w:rFonts w:ascii="Times New Roman" w:eastAsia="方正仿宋_GBK" w:hAnsi="Times New Roman"/>
          <w:sz w:val="32"/>
          <w:szCs w:val="32"/>
        </w:rPr>
        <w:t>三公经费总规模无变化。</w:t>
      </w:r>
    </w:p>
    <w:p>
      <w:pPr>
        <w:pStyle w:val="19"/>
        <w:spacing w:line="560" w:lineRule="exact"/>
        <w:ind w:firstLineChars="200" w:firstLine="640"/>
        <w:rPr>
          <w:rFonts w:eastAsia="方正黑体_GBK"/>
          <w:sz w:val="32"/>
          <w:szCs w:val="32"/>
        </w:rPr>
      </w:pPr>
      <w:r>
        <w:rPr>
          <w:rFonts w:eastAsia="方正黑体_GBK" w:hint="eastAsia"/>
          <w:sz w:val="32"/>
          <w:szCs w:val="32"/>
        </w:rPr>
        <w:t>八、关于吴江</w:t>
      </w:r>
      <w:r>
        <w:rPr>
          <w:rFonts w:eastAsia="方正黑体_GBK"/>
          <w:sz w:val="32"/>
          <w:szCs w:val="32"/>
        </w:rPr>
        <w:t>海关</w:t>
      </w:r>
      <w:r>
        <w:rPr>
          <w:rFonts w:eastAsia="方正黑体_GBK" w:hint="eastAsia"/>
          <w:sz w:val="32"/>
          <w:szCs w:val="32"/>
        </w:rPr>
        <w:t>综合技术服务中心2025年政府性基金预算收支情况说明</w:t>
      </w:r>
    </w:p>
    <w:p>
      <w:pPr>
        <w:spacing w:line="560" w:lineRule="exact"/>
        <w:ind w:firstLineChars="200" w:firstLine="640"/>
        <w:rPr>
          <w:rFonts w:ascii="Times New Roman" w:eastAsia="宋体" w:hAnsi="Times New Roman"/>
          <w:sz w:val="32"/>
          <w:szCs w:val="32"/>
        </w:rPr>
      </w:pPr>
      <w:r>
        <w:rPr>
          <w:rFonts w:eastAsia="方正仿宋_GBK" w:hint="eastAsia"/>
          <w:sz w:val="32"/>
          <w:szCs w:val="32"/>
        </w:rPr>
        <w:t>吴江海关综合技术服务中心</w:t>
      </w:r>
      <w:r>
        <w:rPr>
          <w:rFonts w:ascii="Times New Roman" w:eastAsia="方正仿宋_GBK" w:hAnsi="Times New Roman" w:hint="eastAsia"/>
          <w:sz w:val="32"/>
          <w:szCs w:val="32"/>
        </w:rPr>
        <w:t>2025年无政府性基金预算收支。</w:t>
      </w:r>
    </w:p>
    <w:p>
      <w:pPr>
        <w:pStyle w:val="19"/>
        <w:spacing w:line="560" w:lineRule="exact"/>
        <w:ind w:firstLineChars="200" w:firstLine="640"/>
        <w:rPr>
          <w:rFonts w:eastAsia="方正黑体_GBK"/>
          <w:sz w:val="32"/>
          <w:szCs w:val="32"/>
        </w:rPr>
      </w:pPr>
      <w:r>
        <w:rPr>
          <w:rFonts w:eastAsia="方正黑体_GBK" w:hint="eastAsia"/>
          <w:sz w:val="32"/>
          <w:szCs w:val="32"/>
        </w:rPr>
        <w:t>九、关于吴江</w:t>
      </w:r>
      <w:r>
        <w:rPr>
          <w:rFonts w:eastAsia="方正黑体_GBK"/>
          <w:sz w:val="32"/>
          <w:szCs w:val="32"/>
        </w:rPr>
        <w:t>海关</w:t>
      </w:r>
      <w:r>
        <w:rPr>
          <w:rFonts w:eastAsia="方正黑体_GBK" w:hint="eastAsia"/>
          <w:sz w:val="32"/>
          <w:szCs w:val="32"/>
        </w:rPr>
        <w:t>综合技术服务中心2025年国有资本经营预算收支情况说明</w:t>
      </w:r>
    </w:p>
    <w:p>
      <w:pPr>
        <w:spacing w:line="560" w:lineRule="exact"/>
        <w:ind w:firstLineChars="200" w:firstLine="640"/>
        <w:rPr>
          <w:rFonts w:ascii="Times New Roman" w:eastAsia="方正仿宋_GBK" w:hAnsi="Times New Roman"/>
          <w:sz w:val="32"/>
          <w:szCs w:val="32"/>
        </w:rPr>
      </w:pPr>
      <w:r>
        <w:rPr>
          <w:rFonts w:eastAsia="方正仿宋_GBK" w:hint="eastAsia"/>
          <w:sz w:val="32"/>
          <w:szCs w:val="32"/>
        </w:rPr>
        <w:t>吴江海关综合技术服务中心</w:t>
      </w:r>
      <w:r>
        <w:rPr>
          <w:rFonts w:ascii="Times New Roman" w:eastAsia="方正仿宋_GBK" w:hAnsi="Times New Roman" w:hint="eastAsia"/>
          <w:sz w:val="32"/>
          <w:szCs w:val="32"/>
        </w:rPr>
        <w:t>2025年无国有资本经营预算收支。</w:t>
      </w:r>
    </w:p>
    <w:p>
      <w:pPr>
        <w:pStyle w:val="19"/>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2025年</w:t>
      </w:r>
      <w:r>
        <w:rPr>
          <w:rFonts w:eastAsia="方正仿宋_GBK" w:hint="eastAsia"/>
          <w:sz w:val="32"/>
          <w:szCs w:val="32"/>
        </w:rPr>
        <w:t>吴江海关综合技术服务中心</w:t>
      </w:r>
      <w:r>
        <w:rPr>
          <w:rFonts w:ascii="Times New Roman" w:eastAsia="方正仿宋_GBK" w:hAnsi="Times New Roman" w:hint="eastAsia"/>
          <w:sz w:val="32"/>
          <w:szCs w:val="32"/>
        </w:rPr>
        <w:t>机关运行经费财政拨款预</w:t>
      </w:r>
      <w:r>
        <w:rPr>
          <w:rFonts w:ascii="Times New Roman" w:eastAsia="方正仿宋_GBK" w:hAnsi="Times New Roman" w:hint="eastAsia"/>
          <w:color w:val="000000"/>
          <w:sz w:val="32"/>
          <w:szCs w:val="32"/>
        </w:rPr>
        <w:t>算0</w:t>
      </w:r>
      <w:r>
        <w:rPr>
          <w:rFonts w:ascii="Times New Roman" w:eastAsia="方正仿宋_GBK" w:hAnsi="Times New Roman" w:hint="eastAsia"/>
          <w:sz w:val="32"/>
          <w:szCs w:val="32"/>
        </w:rPr>
        <w:t>万元，与</w:t>
      </w:r>
      <w:r>
        <w:rPr>
          <w:rFonts w:ascii="Times New Roman" w:eastAsia="方正仿宋_GBK" w:hAnsi="Times New Roman" w:hint="eastAsia"/>
          <w:sz w:val="32"/>
          <w:szCs w:val="32"/>
          <w:lang w:eastAsia="zh-CN"/>
        </w:rPr>
        <w:t>2024年</w:t>
      </w:r>
      <w:r>
        <w:rPr>
          <w:rFonts w:ascii="Times New Roman" w:eastAsia="方正仿宋_GBK" w:hAnsi="Times New Roman" w:hint="eastAsia"/>
          <w:sz w:val="32"/>
          <w:szCs w:val="32"/>
        </w:rPr>
        <w:t>预算数持平。</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2025年</w:t>
      </w:r>
      <w:r>
        <w:rPr>
          <w:rFonts w:eastAsia="方正仿宋_GBK" w:hint="eastAsia"/>
          <w:sz w:val="32"/>
          <w:szCs w:val="32"/>
        </w:rPr>
        <w:t>吴江海关综合技术服务中心</w:t>
      </w:r>
      <w:r>
        <w:rPr>
          <w:rFonts w:ascii="Times New Roman" w:eastAsia="方正仿宋_GBK" w:hAnsi="Times New Roman" w:hint="eastAsia"/>
          <w:sz w:val="32"/>
          <w:szCs w:val="32"/>
        </w:rPr>
        <w:t>政府采购预算总额0万元，其中：政府采购货物预算0万元、政府采购工程预算0万元、政府采购服务预算0万元。</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60" w:lineRule="exact"/>
        <w:ind w:firstLineChars="200" w:firstLine="640"/>
        <w:rPr>
          <w:rFonts w:ascii="Times New Roman" w:eastAsia="方正仿宋_GBK" w:hAnsi="Times New Roman"/>
          <w:color w:val="000000"/>
          <w:sz w:val="32"/>
          <w:szCs w:val="32"/>
          <w:highlight w:val="yellow"/>
        </w:rPr>
      </w:pPr>
      <w:r>
        <w:rPr>
          <w:rFonts w:ascii="Times New Roman" w:eastAsia="方正仿宋_GBK" w:hAnsi="Times New Roman" w:hint="eastAsia"/>
          <w:color w:val="000000"/>
          <w:sz w:val="32"/>
          <w:szCs w:val="32"/>
        </w:rPr>
        <w:t>截至</w:t>
      </w:r>
      <w:r>
        <w:rPr>
          <w:rFonts w:ascii="Times New Roman" w:eastAsia="方正仿宋_GBK" w:hAnsi="Times New Roman" w:hint="eastAsia"/>
          <w:color w:val="000000"/>
          <w:sz w:val="32"/>
          <w:szCs w:val="32"/>
          <w:lang w:eastAsia="zh-CN"/>
        </w:rPr>
        <w:t>2024年</w:t>
      </w:r>
      <w:r>
        <w:rPr>
          <w:rFonts w:ascii="Times New Roman" w:eastAsia="方正仿宋_GBK" w:hAnsi="Times New Roman" w:hint="eastAsia"/>
          <w:color w:val="000000"/>
          <w:sz w:val="32"/>
          <w:szCs w:val="32"/>
        </w:rPr>
        <w:t>8月31日，</w:t>
      </w:r>
      <w:r>
        <w:rPr>
          <w:rFonts w:eastAsia="方正仿宋_GBK" w:hint="eastAsia"/>
          <w:sz w:val="32"/>
          <w:szCs w:val="32"/>
        </w:rPr>
        <w:t>吴江海关综合技术服务中心</w:t>
      </w:r>
      <w:r>
        <w:rPr>
          <w:rFonts w:ascii="Times New Roman" w:eastAsia="方正仿宋_GBK" w:hAnsi="Times New Roman" w:hint="eastAsia"/>
          <w:color w:val="000000"/>
          <w:sz w:val="32"/>
          <w:szCs w:val="32"/>
        </w:rPr>
        <w:t>共有车辆4辆，其中业务用车4辆，其他用车主要是事业单位载客载货车辆。单位价值100万元以上的设备0台（套）。</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2025年部门预算安排购置车辆0辆；租用房屋0平方米；购置单位价值100万元以上的设备0台（套）。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2025年对</w:t>
      </w:r>
      <w:r>
        <w:rPr>
          <w:rFonts w:eastAsia="方正仿宋_GBK" w:hint="eastAsia"/>
          <w:sz w:val="32"/>
          <w:szCs w:val="32"/>
        </w:rPr>
        <w:t>吴江海关综合技术服务中心</w:t>
      </w:r>
      <w:r>
        <w:rPr>
          <w:rFonts w:ascii="Times New Roman" w:eastAsia="方正仿宋_GBK" w:hAnsi="Times New Roman" w:hint="eastAsia"/>
          <w:sz w:val="32"/>
          <w:szCs w:val="32"/>
        </w:rPr>
        <w:t>一般公共预算拨款项目全面实施绩效目标管理，涉及1个四级预算单位的一般公共预算当年拨款</w:t>
      </w:r>
      <w:r>
        <w:rPr>
          <w:rFonts w:ascii="Times New Roman" w:eastAsia="方正仿宋_GBK" w:hAnsi="Times New Roman" w:hint="eastAsia"/>
          <w:sz w:val="32"/>
          <w:szCs w:val="32"/>
          <w:lang w:val="en-US" w:eastAsia="zh-CN"/>
        </w:rPr>
        <w:t>22</w:t>
      </w:r>
      <w:r>
        <w:rPr>
          <w:rFonts w:ascii="Times New Roman" w:eastAsia="方正仿宋_GBK" w:hAnsi="Times New Roman" w:hint="eastAsia"/>
          <w:sz w:val="32"/>
          <w:szCs w:val="32"/>
        </w:rPr>
        <w:t>万元，一级项目2个，二级项目2个。优化海关仪器设备购置及能力保障专项、海关法检业务工作专项支出2025年预算安排，并进一步改进管理、完善政策。</w:t>
      </w:r>
    </w:p>
    <w:p>
      <w:pPr>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90"/>
        <w:gridCol w:w="883"/>
        <w:gridCol w:w="1142"/>
        <w:gridCol w:w="701"/>
        <w:gridCol w:w="883"/>
        <w:gridCol w:w="881"/>
        <w:gridCol w:w="1374"/>
        <w:gridCol w:w="469"/>
        <w:gridCol w:w="544"/>
        <w:gridCol w:w="622"/>
        <w:gridCol w:w="634"/>
      </w:tblGrid>
      <w:tr>
        <w:trPr>
          <w:trHeight w:val="420"/>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bdr w:val="none" w:sz="0" w:space="0" w:color="auto"/>
                <w:lang w:val="en-US" w:eastAsia="zh-CN"/>
              </w:rPr>
              <w:t>海关仪器设备购置及能力保障专项项目绩效自评表</w:t>
            </w:r>
          </w:p>
        </w:tc>
      </w:tr>
      <w:tr>
        <w:trPr>
          <w:trHeight w:val="270"/>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（2024年度）</w:t>
            </w:r>
          </w:p>
        </w:tc>
      </w:tr>
      <w:tr>
        <w:trPr>
          <w:trHeight w:val="255"/>
        </w:trPr>
        <w:tc>
          <w:tcPr>
            <w:tcW w:w="229" w:type="pct"/>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517"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70"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411"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17"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17"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05"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275"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319"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364"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370" w:type="pct"/>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255"/>
        </w:trPr>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项目名称</w:t>
            </w:r>
          </w:p>
        </w:tc>
        <w:tc>
          <w:tcPr>
            <w:tcW w:w="4252"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海关仪器设备购置及能力保障专项</w:t>
            </w:r>
          </w:p>
        </w:tc>
      </w:tr>
      <w:tr>
        <w:trPr>
          <w:trHeight w:val="255"/>
        </w:trPr>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主管部门</w:t>
            </w:r>
          </w:p>
        </w:tc>
        <w:tc>
          <w:tcPr>
            <w:tcW w:w="159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[167] 海关总署</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实施单位</w:t>
            </w:r>
          </w:p>
        </w:tc>
        <w:tc>
          <w:tcPr>
            <w:tcW w:w="2135"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吴江海关综合技术服务中心</w:t>
            </w:r>
          </w:p>
        </w:tc>
      </w:tr>
      <w:tr>
        <w:trPr>
          <w:trHeight w:val="255"/>
        </w:trPr>
        <w:tc>
          <w:tcPr>
            <w:tcW w:w="74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项目资金</w:t>
              <w:br/>
              <w:t>（万元）</w:t>
            </w:r>
          </w:p>
        </w:tc>
        <w:tc>
          <w:tcPr>
            <w:tcW w:w="108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年初预算数</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全年预算数</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全年执行数</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分值</w:t>
            </w:r>
          </w:p>
        </w:tc>
        <w:tc>
          <w:tcPr>
            <w:tcW w:w="68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执行率</w:t>
            </w:r>
          </w:p>
        </w:tc>
        <w:tc>
          <w:tcPr>
            <w:tcW w:w="3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得分</w:t>
            </w:r>
          </w:p>
        </w:tc>
      </w:tr>
      <w:tr>
        <w:trPr>
          <w:trHeight w:val="255"/>
        </w:trPr>
        <w:tc>
          <w:tcPr>
            <w:tcW w:w="747"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8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年度资金总额：</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51.50</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51.50</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51.50</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c>
          <w:tcPr>
            <w:tcW w:w="68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w:t>
            </w:r>
          </w:p>
        </w:tc>
        <w:tc>
          <w:tcPr>
            <w:tcW w:w="3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r>
      <w:tr>
        <w:trPr>
          <w:trHeight w:val="255"/>
        </w:trPr>
        <w:tc>
          <w:tcPr>
            <w:tcW w:w="747"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8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其中：财政拨款</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51.50</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51.50</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51.50</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68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3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255"/>
        </w:trPr>
        <w:tc>
          <w:tcPr>
            <w:tcW w:w="747"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8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上年结转</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68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3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255"/>
        </w:trPr>
        <w:tc>
          <w:tcPr>
            <w:tcW w:w="747"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8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 xml:space="preserve">                其他资金 </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0.00</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c>
          <w:tcPr>
            <w:tcW w:w="68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0.0%</w:t>
            </w:r>
          </w:p>
        </w:tc>
        <w:tc>
          <w:tcPr>
            <w:tcW w:w="3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w:t>
            </w:r>
          </w:p>
        </w:tc>
      </w:tr>
      <w:tr>
        <w:trPr>
          <w:trHeight w:val="255"/>
        </w:trPr>
        <w:tc>
          <w:tcPr>
            <w:tcW w:w="22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w:t>
              <w:br/>
              <w:t>度</w:t>
              <w:br/>
              <w:t>总</w:t>
              <w:br/>
              <w:t>体</w:t>
              <w:br/>
              <w:t>目</w:t>
              <w:br/>
              <w:t>标</w:t>
            </w:r>
          </w:p>
        </w:tc>
        <w:tc>
          <w:tcPr>
            <w:tcW w:w="2634"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预期目标</w:t>
            </w:r>
          </w:p>
        </w:tc>
        <w:tc>
          <w:tcPr>
            <w:tcW w:w="2135"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实际完成情况</w:t>
            </w:r>
          </w:p>
        </w:tc>
      </w:tr>
      <w:tr>
        <w:trPr>
          <w:trHeight w:val="255"/>
        </w:trPr>
        <w:tc>
          <w:tcPr>
            <w:tcW w:w="22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34" w:type="pct"/>
            <w:gridSpan w:val="5"/>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目标1：通过各类装备、设备的运维，提高海关监管工作效率，提升海关监管科技含量，提升海关装备设备现代化、科技化水平，优化海关缉监管与服务；</w:t>
              <w:br/>
              <w:t>目标2：对海关检测业务用设备进行必要维护，保障检测业务正常开展。</w:t>
              <w:br/>
              <w:t xml:space="preserve">        </w:t>
            </w:r>
          </w:p>
        </w:tc>
        <w:tc>
          <w:tcPr>
            <w:tcW w:w="2135" w:type="pct"/>
            <w:gridSpan w:val="5"/>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目标1：通过运维，采购2台合计48.5万元仪器设备，并完成100%验收工作，提高海关监管工作效率，提升海关监管科技含量，提升海关装备设备现代化、科技化水平，优化海关缉监管与服务；</w:t>
              <w:br/>
              <w:t>目标2：通过项目实施，对海关检测业务用设备进行必要维护，保障检测业务正常开展，实验室技术能力稳步提升。</w:t>
            </w:r>
          </w:p>
        </w:tc>
      </w:tr>
      <w:tr>
        <w:trPr>
          <w:trHeight w:val="255"/>
        </w:trPr>
        <w:tc>
          <w:tcPr>
            <w:tcW w:w="22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绩</w:t>
              <w:br/>
              <w:t>效</w:t>
              <w:br/>
              <w:t>指</w:t>
              <w:br/>
              <w:t>标</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一级指标</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二级指标</w:t>
            </w:r>
          </w:p>
        </w:tc>
        <w:tc>
          <w:tcPr>
            <w:tcW w:w="92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三级指标</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年度指标值</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实际完成值</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分值</w:t>
            </w:r>
          </w:p>
        </w:tc>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得分</w:t>
            </w:r>
          </w:p>
        </w:tc>
        <w:tc>
          <w:tcPr>
            <w:tcW w:w="73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偏差原因分析及</w:t>
              <w:br/>
              <w:t>改进措施</w:t>
            </w:r>
          </w:p>
        </w:tc>
      </w:tr>
      <w:tr>
        <w:trPr>
          <w:trHeight w:val="255"/>
        </w:trPr>
        <w:tc>
          <w:tcPr>
            <w:tcW w:w="22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成本指标</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经济成本指标</w:t>
            </w:r>
          </w:p>
        </w:tc>
        <w:tc>
          <w:tcPr>
            <w:tcW w:w="92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设备购置成本</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≤48.5万元</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48.50万元</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w:t>
            </w:r>
          </w:p>
        </w:tc>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20.0</w:t>
            </w:r>
          </w:p>
        </w:tc>
        <w:tc>
          <w:tcPr>
            <w:tcW w:w="73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255"/>
        </w:trPr>
        <w:tc>
          <w:tcPr>
            <w:tcW w:w="22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1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产出指标</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数量指标</w:t>
            </w:r>
          </w:p>
        </w:tc>
        <w:tc>
          <w:tcPr>
            <w:tcW w:w="92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购置海关实验室仪器设备（台/套）</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≥2台/套</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2.00台/套</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w:t>
            </w:r>
          </w:p>
        </w:tc>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20.0</w:t>
            </w:r>
          </w:p>
        </w:tc>
        <w:tc>
          <w:tcPr>
            <w:tcW w:w="73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255"/>
        </w:trPr>
        <w:tc>
          <w:tcPr>
            <w:tcW w:w="22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1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质量指标</w:t>
            </w:r>
          </w:p>
        </w:tc>
        <w:tc>
          <w:tcPr>
            <w:tcW w:w="92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仪器设备验收完成率（%）</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≥95%</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100.00%</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w:t>
            </w:r>
          </w:p>
        </w:tc>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20.0</w:t>
            </w:r>
          </w:p>
        </w:tc>
        <w:tc>
          <w:tcPr>
            <w:tcW w:w="73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675"/>
        </w:trPr>
        <w:tc>
          <w:tcPr>
            <w:tcW w:w="22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效益指标</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社会效益指标</w:t>
            </w:r>
          </w:p>
        </w:tc>
        <w:tc>
          <w:tcPr>
            <w:tcW w:w="92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提升关区实验室技术能力</w:t>
            </w:r>
          </w:p>
        </w:tc>
        <w:tc>
          <w:tcPr>
            <w:tcW w:w="5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是</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通过设备更新，实现实验室技术能力稳步提升</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30</w:t>
            </w:r>
          </w:p>
        </w:tc>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30.0</w:t>
            </w:r>
          </w:p>
        </w:tc>
        <w:tc>
          <w:tcPr>
            <w:tcW w:w="73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255"/>
        </w:trPr>
        <w:tc>
          <w:tcPr>
            <w:tcW w:w="3669"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总分</w:t>
            </w:r>
          </w:p>
        </w:tc>
        <w:tc>
          <w:tcPr>
            <w:tcW w:w="2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w:t>
            </w:r>
          </w:p>
        </w:tc>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100.0</w:t>
            </w:r>
          </w:p>
        </w:tc>
        <w:tc>
          <w:tcPr>
            <w:tcW w:w="73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255"/>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bdr w:val="none" w:sz="0" w:space="0" w:color="auto"/>
                <w:lang w:val="en-US" w:eastAsia="zh-CN"/>
              </w:rPr>
              <w:t>说明：</w:t>
            </w:r>
          </w:p>
        </w:tc>
      </w:tr>
    </w:tbl>
    <w:p>
      <w:pPr>
        <w:jc w:val="left"/>
        <w:rPr>
          <w:rFonts w:ascii="宋体" w:eastAsia="宋体"/>
          <w:szCs w:val="21"/>
        </w:rPr>
      </w:pPr>
    </w:p>
    <w:p>
      <w:pPr>
        <w:jc w:val="left"/>
        <w:rPr>
          <w:rFonts w:ascii="宋体" w:eastAsia="宋体"/>
          <w:szCs w:val="21"/>
        </w:rPr>
      </w:pPr>
    </w:p>
    <w:p>
      <w:pPr>
        <w:jc w:val="left"/>
        <w:rPr>
          <w:rFonts w:ascii="宋体" w:eastAsia="宋体"/>
          <w:szCs w:val="21"/>
        </w:rPr>
      </w:pPr>
    </w:p>
    <w:tbl>
      <w:tblPr>
        <w:jc w:val="left"/>
        <w:tblInd w:w="0" w:type="dxa"/>
        <w:tblW w:w="5107" w:type="pct"/>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392"/>
        <w:gridCol w:w="695"/>
        <w:gridCol w:w="726"/>
        <w:gridCol w:w="41"/>
        <w:gridCol w:w="89"/>
        <w:gridCol w:w="644"/>
        <w:gridCol w:w="89"/>
        <w:gridCol w:w="862"/>
        <w:gridCol w:w="87"/>
        <w:gridCol w:w="1031"/>
        <w:gridCol w:w="85"/>
        <w:gridCol w:w="1024"/>
        <w:gridCol w:w="523"/>
        <w:gridCol w:w="89"/>
        <w:gridCol w:w="2053"/>
        <w:gridCol w:w="87"/>
      </w:tblGrid>
      <w:tr>
        <w:trPr>
          <w:trHeight w:val="420"/>
          <w:gridAfter w:val="1"/>
          <w:wAfter w:w="87" w:type="dxa"/>
        </w:trPr>
        <w:tc>
          <w:tcPr>
            <w:tcW w:w="4947" w:type="pct"/>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cs="Arial" w:hAnsi="Arial"/>
                <w:b/>
                <w:bCs/>
                <w:i w:val="0"/>
                <w:iCs w:val="0"/>
                <w:color w:val="auto"/>
                <w:sz w:val="32"/>
                <w:szCs w:val="32"/>
              </w:rPr>
            </w:pPr>
            <w:r>
              <w:rPr>
                <w:rFonts w:ascii="宋体" w:eastAsia="宋体" w:cs="宋体" w:hint="eastAsia"/>
                <w:b/>
                <w:bCs/>
                <w:i w:val="0"/>
                <w:iCs w:val="0"/>
                <w:color w:val="000000"/>
                <w:kern w:val="0"/>
                <w:sz w:val="32"/>
                <w:szCs w:val="32"/>
                <w:lang w:val="en-US" w:eastAsia="zh-CN"/>
              </w:rPr>
              <w:t>海关法检业务工作专项项目绩效自评表</w:t>
            </w:r>
          </w:p>
        </w:tc>
      </w:tr>
      <w:tr>
        <w:trPr>
          <w:trHeight w:val="285"/>
          <w:gridAfter w:val="1"/>
          <w:wAfter w:w="87" w:type="dxa"/>
        </w:trPr>
        <w:tc>
          <w:tcPr>
            <w:tcW w:w="4947" w:type="pct"/>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22"/>
                <w:szCs w:val="22"/>
              </w:rPr>
            </w:pPr>
            <w:r>
              <w:rPr>
                <w:rFonts w:ascii="宋体" w:eastAsia="宋体" w:cs="宋体" w:hint="eastAsia"/>
                <w:i w:val="0"/>
                <w:iCs w:val="0"/>
                <w:color w:val="000000"/>
                <w:kern w:val="0"/>
                <w:sz w:val="22"/>
                <w:szCs w:val="22"/>
                <w:lang w:val="en-US" w:eastAsia="zh-CN"/>
              </w:rPr>
              <w:t>（2024年度）</w:t>
            </w:r>
          </w:p>
        </w:tc>
      </w:tr>
      <w:tr>
        <w:trPr>
          <w:trHeight w:val="255"/>
        </w:trPr>
        <w:tc>
          <w:tcPr>
            <w:tcW w:w="230" w:type="pct"/>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408" w:type="pct"/>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426" w:type="pct"/>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76" w:type="pct"/>
            <w:gridSpan w:val="2"/>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430" w:type="pct"/>
            <w:gridSpan w:val="2"/>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557" w:type="pct"/>
            <w:gridSpan w:val="2"/>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655" w:type="pct"/>
            <w:gridSpan w:val="2"/>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598" w:type="pct"/>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307" w:type="pct"/>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52" w:type="pct"/>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c>
          <w:tcPr>
            <w:tcW w:w="1256" w:type="pct"/>
            <w:gridSpan w:val="2"/>
            <w:tcBorders>
              <w:top w:val="nil"/>
              <w:left w:val="nil"/>
              <w:bottom w:val="nil"/>
              <w:right w:val="nil"/>
            </w:tcBorders>
            <w:shd w:val="clear" w:color="auto" w:fill="auto"/>
            <w:noWrap/>
            <w:vAlign w:val="bottom"/>
          </w:tcPr>
          <w:p>
            <w:pPr>
              <w:rPr>
                <w:rFonts w:ascii="Arial" w:cs="Arial" w:hAnsi="Arial"/>
                <w:i w:val="0"/>
                <w:iCs w:val="0"/>
                <w:color w:val="auto"/>
                <w:sz w:val="20"/>
                <w:szCs w:val="20"/>
              </w:rPr>
            </w:pPr>
          </w:p>
        </w:tc>
      </w:tr>
      <w:tr>
        <w:trPr>
          <w:trHeight w:val="375"/>
          <w:gridAfter w:val="1"/>
          <w:wAfter w:w="87" w:type="dxa"/>
        </w:trPr>
        <w:tc>
          <w:tcPr>
            <w:tcW w:w="230"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项目名称</w:t>
            </w:r>
          </w:p>
        </w:tc>
        <w:tc>
          <w:tcPr>
            <w:tcW w:w="4717" w:type="pct"/>
            <w:gridSpan w:val="1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海关法检业务工作专项</w:t>
            </w:r>
          </w:p>
        </w:tc>
      </w:tr>
      <w:tr>
        <w:trPr>
          <w:trHeight w:val="375"/>
          <w:gridAfter w:val="1"/>
          <w:wAfter w:w="87" w:type="dxa"/>
        </w:trPr>
        <w:tc>
          <w:tcPr>
            <w:tcW w:w="230"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主管部门</w:t>
            </w:r>
          </w:p>
        </w:tc>
        <w:tc>
          <w:tcPr>
            <w:tcW w:w="1288" w:type="pct"/>
            <w:gridSpan w:val="5"/>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[167] 海关总署</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实施单位</w:t>
            </w:r>
          </w:p>
        </w:tc>
        <w:tc>
          <w:tcPr>
            <w:tcW w:w="2870" w:type="pct"/>
            <w:gridSpan w:val="7"/>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吴江海关综合技术服务中心</w:t>
            </w:r>
          </w:p>
        </w:tc>
      </w:tr>
      <w:tr>
        <w:trPr>
          <w:trHeight w:val="375"/>
          <w:gridAfter w:val="1"/>
          <w:wAfter w:w="87" w:type="dxa"/>
        </w:trPr>
        <w:tc>
          <w:tcPr>
            <w:tcW w:w="230" w:type="pct"/>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项目资金</w:t>
              <w:br/>
              <w:t>（万元）</w:t>
            </w:r>
          </w:p>
        </w:tc>
        <w:tc>
          <w:tcPr>
            <w:tcW w:w="858" w:type="pct"/>
            <w:gridSpan w:val="3"/>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auto"/>
                <w:kern w:val="0"/>
                <w:sz w:val="18"/>
                <w:szCs w:val="18"/>
                <w:lang w:val="en-US" w:eastAsia="zh-CN"/>
              </w:rPr>
              <w:t>　</w:t>
            </w:r>
          </w:p>
        </w:tc>
        <w:tc>
          <w:tcPr>
            <w:tcW w:w="430"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年初预算数</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全年预算数</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全年执行数</w:t>
            </w:r>
          </w:p>
        </w:tc>
        <w:tc>
          <w:tcPr>
            <w:tcW w:w="651"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分值</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执行率</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得分</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858" w:type="pct"/>
            <w:gridSpan w:val="3"/>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年度资金总额：</w:t>
            </w:r>
          </w:p>
        </w:tc>
        <w:tc>
          <w:tcPr>
            <w:tcW w:w="430"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19.00</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19.00</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19.00</w:t>
            </w:r>
          </w:p>
        </w:tc>
        <w:tc>
          <w:tcPr>
            <w:tcW w:w="651"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858" w:type="pct"/>
            <w:gridSpan w:val="3"/>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          其中：财政拨款</w:t>
            </w:r>
          </w:p>
        </w:tc>
        <w:tc>
          <w:tcPr>
            <w:tcW w:w="430"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19.00</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19.00</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19.00</w:t>
            </w:r>
          </w:p>
        </w:tc>
        <w:tc>
          <w:tcPr>
            <w:tcW w:w="651"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858" w:type="pct"/>
            <w:gridSpan w:val="3"/>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                上年结转</w:t>
            </w:r>
          </w:p>
        </w:tc>
        <w:tc>
          <w:tcPr>
            <w:tcW w:w="430"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0.00</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0.00</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0.00</w:t>
            </w:r>
          </w:p>
        </w:tc>
        <w:tc>
          <w:tcPr>
            <w:tcW w:w="651"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858" w:type="pct"/>
            <w:gridSpan w:val="3"/>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                其他资金 </w:t>
            </w:r>
          </w:p>
        </w:tc>
        <w:tc>
          <w:tcPr>
            <w:tcW w:w="430"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0.00</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0.00</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0.00</w:t>
            </w:r>
          </w:p>
        </w:tc>
        <w:tc>
          <w:tcPr>
            <w:tcW w:w="651"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0.0%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w:t>
            </w:r>
          </w:p>
        </w:tc>
      </w:tr>
      <w:tr>
        <w:trPr>
          <w:trHeight w:val="375"/>
          <w:gridAfter w:val="1"/>
          <w:wAfter w:w="87" w:type="dxa"/>
        </w:trPr>
        <w:tc>
          <w:tcPr>
            <w:tcW w:w="230" w:type="pct"/>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年</w:t>
              <w:br/>
              <w:t>度</w:t>
              <w:br/>
              <w:t>总</w:t>
              <w:br/>
              <w:t>体</w:t>
              <w:br/>
              <w:t>目</w:t>
              <w:br/>
              <w:t>标</w:t>
            </w:r>
          </w:p>
        </w:tc>
        <w:tc>
          <w:tcPr>
            <w:tcW w:w="1846" w:type="pct"/>
            <w:gridSpan w:val="7"/>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预期目标</w:t>
            </w:r>
          </w:p>
        </w:tc>
        <w:tc>
          <w:tcPr>
            <w:tcW w:w="2870" w:type="pct"/>
            <w:gridSpan w:val="7"/>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实际完成情况</w:t>
            </w:r>
          </w:p>
        </w:tc>
      </w:tr>
      <w:tr>
        <w:trPr>
          <w:trHeight w:val="190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1846" w:type="pct"/>
            <w:gridSpan w:val="7"/>
            <w:tcBorders>
              <w:top w:val="single" w:sz="6" w:space="0" w:color="auto"/>
              <w:left w:val="single" w:sz="6" w:space="0" w:color="auto"/>
              <w:bottom w:val="single" w:sz="6" w:space="0" w:color="auto"/>
              <w:right w:val="single" w:sz="6" w:space="0" w:color="auto"/>
            </w:tcBorders>
            <w:shd w:val="clear" w:color="auto" w:fill="auto"/>
            <w:noWrap/>
          </w:tcPr>
          <w:p>
            <w:pPr>
              <w:keepNext w:val="0"/>
              <w:keepLines w:val="0"/>
              <w:widowControl/>
              <w:suppressLineNumbers w:val="0"/>
              <w:jc w:val="left"/>
              <w:textAlignment w:val="top"/>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目标1.通过开展动植物、卫生、食品和商品等法检工作，持续加强检验检疫监管能力，筑牢国门生物安全屏障，提升口岸疫病防控能力。</w:t>
              <w:br/>
              <w:t>目标2.通过对海关法检实验室进行运维，保障实验室的检验检疫业务正常开展，促进实验室持续高质量运转。</w:t>
            </w:r>
          </w:p>
        </w:tc>
        <w:tc>
          <w:tcPr>
            <w:tcW w:w="2870" w:type="pct"/>
            <w:gridSpan w:val="7"/>
            <w:tcBorders>
              <w:top w:val="single" w:sz="6" w:space="0" w:color="auto"/>
              <w:left w:val="single" w:sz="6" w:space="0" w:color="auto"/>
              <w:bottom w:val="single" w:sz="6" w:space="0" w:color="auto"/>
              <w:right w:val="single" w:sz="6" w:space="0" w:color="auto"/>
            </w:tcBorders>
            <w:shd w:val="clear" w:color="auto" w:fill="auto"/>
            <w:noWrap/>
          </w:tcPr>
          <w:p>
            <w:pPr>
              <w:keepNext w:val="0"/>
              <w:keepLines w:val="0"/>
              <w:widowControl/>
              <w:suppressLineNumbers w:val="0"/>
              <w:jc w:val="left"/>
              <w:textAlignment w:val="top"/>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目标1.通过开展动植物、卫生、食品和商品等法检工作合计10批次，439项次，保障运维实验室1个，实现法检自检率100%，持续加强检验检疫监管能力，筑牢国门生物安全屏障，提升口岸疫病防控能力。</w:t>
              <w:br/>
              <w:t>目标2.通过对海关法检实验室进行运维，按时出具法检检测结果，保障实验室的检验检疫业务正常开展，促进实验室持续高质量运转，未发生商品安全事件。</w:t>
            </w:r>
          </w:p>
        </w:tc>
      </w:tr>
      <w:tr>
        <w:trPr>
          <w:trHeight w:val="540"/>
          <w:gridAfter w:val="1"/>
          <w:wAfter w:w="87" w:type="dxa"/>
        </w:trPr>
        <w:tc>
          <w:tcPr>
            <w:tcW w:w="230" w:type="pct"/>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绩</w:t>
              <w:br/>
              <w:t>效</w:t>
              <w:br/>
              <w:t>指</w:t>
              <w:br/>
              <w:t>标</w:t>
            </w:r>
          </w:p>
        </w:tc>
        <w:tc>
          <w:tcPr>
            <w:tcW w:w="40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一级指标</w:t>
            </w:r>
          </w:p>
        </w:tc>
        <w:tc>
          <w:tcPr>
            <w:tcW w:w="426"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二级指标</w:t>
            </w:r>
          </w:p>
        </w:tc>
        <w:tc>
          <w:tcPr>
            <w:tcW w:w="506" w:type="pct"/>
            <w:gridSpan w:val="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三级指标</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年度指标值</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实际完成值</w:t>
            </w:r>
          </w:p>
        </w:tc>
        <w:tc>
          <w:tcPr>
            <w:tcW w:w="59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分值</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得分</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偏差原因分析及</w:t>
              <w:br/>
              <w:t>改进措施</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08" w:type="pct"/>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产出指标</w:t>
            </w:r>
          </w:p>
        </w:tc>
        <w:tc>
          <w:tcPr>
            <w:tcW w:w="426" w:type="pct"/>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数量指标</w:t>
            </w:r>
          </w:p>
        </w:tc>
        <w:tc>
          <w:tcPr>
            <w:tcW w:w="506" w:type="pct"/>
            <w:gridSpan w:val="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left"/>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法检批次数量（批次）</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≥60批次</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10.00批次</w:t>
            </w:r>
          </w:p>
        </w:tc>
        <w:tc>
          <w:tcPr>
            <w:tcW w:w="59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7</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2.0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法检批次根据系统分派，无法强制执行，下年度将优化调整年初绩效指标，并强化目录执行，提高预算执行完成度</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08"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26"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506" w:type="pct"/>
            <w:gridSpan w:val="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left"/>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运维实验室数量（个）</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≥1个</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1.00个</w:t>
            </w:r>
          </w:p>
        </w:tc>
        <w:tc>
          <w:tcPr>
            <w:tcW w:w="59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11</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11.0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auto"/>
                <w:kern w:val="0"/>
                <w:sz w:val="18"/>
                <w:szCs w:val="18"/>
                <w:lang w:val="en-US" w:eastAsia="zh-CN"/>
              </w:rPr>
              <w:t>　</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08"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26"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506" w:type="pct"/>
            <w:gridSpan w:val="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left"/>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法检项次数量（项次）</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≥500项次</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439.00项次</w:t>
            </w:r>
          </w:p>
        </w:tc>
        <w:tc>
          <w:tcPr>
            <w:tcW w:w="59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7</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6.0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法检批次根据系统分派，无法强制执行，下年度将优化调整年初绩效指标，并强化目录执行，提高预算执行完成度</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08"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26"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质量指标</w:t>
            </w:r>
          </w:p>
        </w:tc>
        <w:tc>
          <w:tcPr>
            <w:tcW w:w="506" w:type="pct"/>
            <w:gridSpan w:val="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left"/>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法检自检率（%）</w:t>
              <w:tab/>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≥95%</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100.00%</w:t>
            </w:r>
          </w:p>
        </w:tc>
        <w:tc>
          <w:tcPr>
            <w:tcW w:w="59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15</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15.0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auto"/>
                <w:kern w:val="0"/>
                <w:sz w:val="18"/>
                <w:szCs w:val="18"/>
                <w:lang w:val="en-US" w:eastAsia="zh-CN"/>
              </w:rPr>
              <w:t>　</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08"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26"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时效指标</w:t>
            </w:r>
          </w:p>
        </w:tc>
        <w:tc>
          <w:tcPr>
            <w:tcW w:w="506" w:type="pct"/>
            <w:gridSpan w:val="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left"/>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按时出具法检检测结果</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按时</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通过项目执行，按时出具法检检测结果并交付相关单位</w:t>
            </w:r>
          </w:p>
        </w:tc>
        <w:tc>
          <w:tcPr>
            <w:tcW w:w="59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auto"/>
                <w:kern w:val="0"/>
                <w:sz w:val="18"/>
                <w:szCs w:val="18"/>
                <w:lang w:val="en-US" w:eastAsia="zh-CN"/>
              </w:rPr>
              <w:t>　</w:t>
            </w:r>
          </w:p>
        </w:tc>
      </w:tr>
      <w:tr>
        <w:trPr>
          <w:trHeight w:val="375"/>
          <w:gridAfter w:val="1"/>
          <w:wAfter w:w="87" w:type="dxa"/>
        </w:trPr>
        <w:tc>
          <w:tcPr>
            <w:tcW w:w="230" w:type="pct"/>
            <w:vMerge/>
            <w:tcBorders>
              <w:top w:val="single" w:sz="6" w:space="0" w:color="auto"/>
              <w:left w:val="single" w:sz="6" w:space="0" w:color="auto"/>
              <w:bottom w:val="single" w:sz="6" w:space="0" w:color="auto"/>
              <w:right w:val="single" w:sz="6" w:space="0" w:color="auto"/>
            </w:tcBorders>
            <w:shd w:val="clear" w:color="auto" w:fill="auto"/>
            <w:noWrap/>
            <w:vAlign w:val="center"/>
          </w:tcPr>
          <w:p/>
        </w:tc>
        <w:tc>
          <w:tcPr>
            <w:tcW w:w="40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效益指标</w:t>
            </w:r>
          </w:p>
        </w:tc>
        <w:tc>
          <w:tcPr>
            <w:tcW w:w="426"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社会效益指标</w:t>
            </w:r>
          </w:p>
        </w:tc>
        <w:tc>
          <w:tcPr>
            <w:tcW w:w="506" w:type="pct"/>
            <w:gridSpan w:val="4"/>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left"/>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筑牢国家商品安全屏障，切实维护好国家商品安全</w:t>
            </w:r>
          </w:p>
        </w:tc>
        <w:tc>
          <w:tcPr>
            <w:tcW w:w="557"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是</w:t>
            </w:r>
          </w:p>
        </w:tc>
        <w:tc>
          <w:tcPr>
            <w:tcW w:w="65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通过项目执行，未发生商品安全事件</w:t>
            </w:r>
          </w:p>
        </w:tc>
        <w:tc>
          <w:tcPr>
            <w:tcW w:w="598"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40</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40.0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auto"/>
                <w:kern w:val="0"/>
                <w:sz w:val="18"/>
                <w:szCs w:val="18"/>
                <w:lang w:val="en-US" w:eastAsia="zh-CN"/>
              </w:rPr>
              <w:t>　</w:t>
            </w:r>
          </w:p>
        </w:tc>
      </w:tr>
      <w:tr>
        <w:trPr>
          <w:trHeight w:val="435"/>
          <w:gridAfter w:val="1"/>
          <w:wAfter w:w="87" w:type="dxa"/>
        </w:trPr>
        <w:tc>
          <w:tcPr>
            <w:tcW w:w="2732" w:type="pct"/>
            <w:gridSpan w:val="10"/>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Arial" w:cs="Arial" w:hAnsi="Arial"/>
                <w:i w:val="0"/>
                <w:iCs w:val="0"/>
                <w:color w:val="auto"/>
                <w:sz w:val="18"/>
                <w:szCs w:val="18"/>
              </w:rPr>
            </w:pPr>
            <w:r>
              <w:rPr>
                <w:rFonts w:ascii="宋体" w:eastAsia="宋体" w:cs="宋体" w:hint="eastAsia"/>
                <w:i w:val="0"/>
                <w:iCs w:val="0"/>
                <w:color w:val="000000"/>
                <w:kern w:val="0"/>
                <w:sz w:val="18"/>
                <w:szCs w:val="18"/>
                <w:lang w:val="en-US" w:eastAsia="zh-CN"/>
              </w:rPr>
              <w:t>总分</w:t>
            </w:r>
          </w:p>
        </w:tc>
        <w:tc>
          <w:tcPr>
            <w:tcW w:w="651"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100</w:t>
            </w:r>
          </w:p>
        </w:tc>
        <w:tc>
          <w:tcPr>
            <w:tcW w:w="307" w:type="pct"/>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000000"/>
                <w:kern w:val="0"/>
                <w:sz w:val="18"/>
                <w:szCs w:val="18"/>
                <w:lang w:val="en-US" w:eastAsia="zh-CN"/>
              </w:rPr>
              <w:t>94.0</w:t>
            </w:r>
          </w:p>
        </w:tc>
        <w:tc>
          <w:tcPr>
            <w:tcW w:w="1256"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auto"/>
                <w:sz w:val="18"/>
                <w:szCs w:val="18"/>
              </w:rPr>
            </w:pPr>
            <w:r>
              <w:rPr>
                <w:rFonts w:ascii="宋体" w:eastAsia="宋体" w:cs="宋体" w:hint="eastAsia"/>
                <w:i w:val="0"/>
                <w:iCs w:val="0"/>
                <w:color w:val="auto"/>
                <w:kern w:val="0"/>
                <w:sz w:val="18"/>
                <w:szCs w:val="18"/>
                <w:lang w:val="en-US" w:eastAsia="zh-CN"/>
              </w:rPr>
              <w:t>　</w:t>
            </w:r>
          </w:p>
        </w:tc>
      </w:tr>
    </w:tbl>
    <w:p>
      <w:pPr>
        <w:jc w:val="left"/>
        <w:rPr>
          <w:rFonts w:ascii="宋体" w:eastAsia="宋体"/>
          <w:sz w:val="18"/>
          <w:szCs w:val="18"/>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10002FF" w:usb1="4000ACFF" w:usb2="00000009" w:usb3="00000000" w:csb0="2000019F" w:csb1="00000000"/>
  </w:font>
  <w:font w:name="微软雅黑">
    <w:panose1 w:val="020B0503020204020204"/>
    <w:charset w:val="86"/>
    <w:family w:val="auto"/>
    <w:pitch w:val="variable"/>
    <w:sig w:usb0="80000287" w:usb1="280F3C52" w:usb2="00000016" w:usb3="00000000" w:csb0="0004001F" w:csb1="00000000"/>
  </w:font>
  <w:font w:name="Arial">
    <w:panose1 w:val="020B0604020202020204"/>
    <w:charset w:val="01"/>
    <w:family w:val="swiss"/>
    <w:pitch w:val="variable"/>
    <w:sig w:usb0="E0002AFF" w:usb1="C0007843" w:usb2="00000009" w:usb3="00000000" w:csb0="400001FF" w:csb1="FFFF0000"/>
  </w:font>
  <w:font w:name="方正楷体_GBK">
    <w:panose1 w:val="03000509000000000000"/>
    <w:charset w:val="86"/>
    <w:family w:val="script"/>
    <w:pitch w:val="variable"/>
    <w:sig w:usb0="00000001" w:usb1="080E0000" w:usb2="00000000" w:usb3="00000000" w:csb0="0004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BE9614D"/>
    <w:multiLevelType w:val="multilevel"/>
    <w:tmpl w:val="1BE9614D"/>
    <w:lvl w:ilvl="0">
      <w:start w:val="1"/>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8"/>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GNjYmQ0MzJmZGZjYzcxZWMzZmNmZWJkMmQ1MzIxND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7"/>
      </w:tabs>
      <w:snapToGrid w:val="0"/>
      <w:jc w:val="left"/>
    </w:pPr>
    <w:rPr>
      <w:sz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character" w:styleId="18">
    <w:name w:val="page number"/>
    <w:basedOn w:val="10"/>
  </w:style>
  <w:style w:type="paragraph" w:customStyle="1" w:styleId="19">
    <w:name w:val="样式 4 10 磅"/>
    <w:basedOn w:val="0"/>
    <w:rPr>
      <w:rFonts w:ascii="Times New Roman" w:eastAsia="宋体" w:cs="Times New Roman" w:hAnsi="Times New Roman"/>
      <w:szCs w:val="21"/>
    </w:rPr>
  </w:style>
  <w:style w:type="paragraph" w:customStyle="1" w:styleId="20">
    <w:name w:val="样式 51 10 磅"/>
    <w:basedOn w:val="0"/>
    <w:rPr>
      <w:rFonts w:ascii="Times New Roman" w:eastAsia="宋体" w:cs="Times New Roman" w:hAnsi="Times New Roman"/>
      <w:szCs w:val="21"/>
    </w:rPr>
  </w:style>
  <w:style w:type="paragraph" w:customStyle="1" w:styleId="21">
    <w:name w:val="样式 36 10 磅"/>
    <w:basedOn w:val="0"/>
    <w:rPr>
      <w:rFonts w:ascii="Times New Roman" w:eastAsia="宋体" w:cs="Times New Roman" w:hAnsi="Times New Roman"/>
      <w:szCs w:val="21"/>
    </w:rPr>
  </w:style>
  <w:style w:type="paragraph" w:customStyle="1" w:styleId="22">
    <w:name w:val="样式 49 10 磅"/>
    <w:basedOn w:val="0"/>
    <w:rPr>
      <w:rFonts w:ascii="Times New Roman" w:eastAsia="宋体" w:cs="Times New Roman" w:hAnsi="Times New Roman"/>
      <w:szCs w:val="21"/>
    </w:rPr>
  </w:style>
  <w:style w:type="character" w:customStyle="1" w:styleId="23">
    <w:name w:val="font41"/>
    <w:basedOn w:val="10"/>
    <w:rPr>
      <w:rFonts w:ascii="宋体" w:eastAsia="宋体" w:cs="宋体"/>
      <w:color w:val="000000"/>
      <w:sz w:val="22"/>
      <w:szCs w:val="22"/>
      <w:u w:val="none"/>
    </w:rPr>
  </w:style>
  <w:style w:type="character" w:customStyle="1" w:styleId="24">
    <w:name w:val="font61"/>
    <w:basedOn w:val="10"/>
    <w:rPr>
      <w:rFonts w:ascii="宋体" w:eastAsia="宋体" w:cs="宋体"/>
      <w:color w:val="000000"/>
      <w:sz w:val="22"/>
      <w:szCs w:val="22"/>
      <w:u w:val="none"/>
    </w:rPr>
  </w:style>
  <w:style w:type="character" w:customStyle="1" w:styleId="25">
    <w:name w:val="font71"/>
    <w:basedOn w:val="10"/>
    <w:rPr>
      <w:rFonts w:ascii="Times New Roman" w:cs="Times New Roman" w:hAnsi="Times New Roman"/>
      <w:color w:val="000000"/>
      <w:sz w:val="22"/>
      <w:szCs w:val="22"/>
      <w:u w:val="none"/>
    </w:rPr>
  </w:style>
  <w:style w:type="character" w:customStyle="1" w:styleId="26">
    <w:name w:val="font51"/>
    <w:basedOn w:val="10"/>
    <w:rPr>
      <w:rFonts w:ascii="宋体" w:eastAsia="宋体" w:cs="宋体"/>
      <w:color w:val="000000"/>
      <w:sz w:val="22"/>
      <w:szCs w:val="22"/>
      <w:u w:val="none"/>
    </w:rPr>
  </w:style>
  <w:style w:type="character" w:customStyle="1" w:styleId="27">
    <w:name w:val="font01"/>
    <w:basedOn w:val="10"/>
    <w:rPr>
      <w:rFonts w:ascii="宋体" w:eastAsia="宋体" w:cs="宋体"/>
      <w:color w:val="000000"/>
      <w:sz w:val="22"/>
      <w:szCs w:val="22"/>
      <w:u w:val="none"/>
    </w:rPr>
  </w:style>
  <w:style w:type="paragraph" w:customStyle="1" w:styleId="28">
    <w:name w:val="样式 2 10 磅"/>
    <w:basedOn w:val="0"/>
    <w:rPr>
      <w:rFonts w:ascii="Times New Roman" w:eastAsia="宋体" w:cs="Times New Roman" w:hAnsi="Times New Roman"/>
      <w:szCs w:val="21"/>
    </w:rPr>
  </w:style>
  <w:style w:type="paragraph" w:customStyle="1" w:styleId="29">
    <w:name w:val="样式 1 10 磅"/>
    <w:basedOn w:val="0"/>
    <w:rPr>
      <w:rFonts w:ascii="Times New Roman" w:eastAsia="宋体" w:cs="Times New Roman" w:hAnsi="Times New Roman"/>
      <w:szCs w:val="21"/>
    </w:rPr>
  </w:style>
  <w:style w:type="paragraph" w:customStyle="1" w:styleId="30">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image" Target="media/5.png"/><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1.png"/><Relationship Id="rId7" Type="http://schemas.openxmlformats.org/officeDocument/2006/relationships/styles" Target="styles.xml"/><Relationship Id="rId8" Type="http://schemas.openxmlformats.org/officeDocument/2006/relationships/numbering" Target="numbering.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36</TotalTime>
  <Application>Yozo_Office</Application>
  <Pages>34</Pages>
  <Words>7949</Words>
  <Characters>9271</Characters>
  <Lines>1485</Lines>
  <Paragraphs>686</Paragraphs>
  <CharactersWithSpaces>9831</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陈一</cp:lastModifiedBy>
  <cp:revision>12</cp:revision>
  <dcterms:created xsi:type="dcterms:W3CDTF">2024-04-29T01:00:00Z</dcterms:created>
  <dcterms:modified xsi:type="dcterms:W3CDTF">2025-04-27T01:36:05Z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2052-11.1.0.14227</vt:lpwstr>
  </property>
  <property fmtid="{D5CDD505-2E9C-101B-9397-08002B2CF9AE}" pid="3" name="ICV">
    <vt:lpwstr>1DA2B4D231ED41AA906827DC59F82660</vt:lpwstr>
  </property>
</Properties>
</file>