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16946">
      <w:pPr>
        <w:spacing w:line="360" w:lineRule="exact"/>
        <w:ind w:right="-540" w:rightChars="-257"/>
        <w:jc w:val="left"/>
        <w:outlineLvl w:val="0"/>
        <w:rPr>
          <w:rFonts w:hint="eastAsia" w:ascii="方正黑体_GBK" w:eastAsia="方正黑体_GBK" w:cs="Times New Roman"/>
          <w:sz w:val="32"/>
          <w:szCs w:val="32"/>
          <w:lang w:bidi="ar-SA"/>
        </w:rPr>
      </w:pPr>
      <w:r>
        <w:rPr>
          <w:rFonts w:hint="eastAsia" w:ascii="方正黑体_GBK" w:eastAsia="方正黑体_GBK" w:cs="Times New Roman"/>
          <w:sz w:val="32"/>
          <w:szCs w:val="32"/>
          <w:lang w:bidi="ar-SA"/>
        </w:rPr>
        <w:t>附件3</w:t>
      </w:r>
    </w:p>
    <w:p w14:paraId="56F959B1">
      <w:pPr>
        <w:spacing w:line="360" w:lineRule="exact"/>
        <w:ind w:right="-540" w:rightChars="-257"/>
        <w:jc w:val="left"/>
        <w:outlineLvl w:val="0"/>
        <w:rPr>
          <w:rFonts w:hint="eastAsia" w:ascii="方正黑体_GBK" w:eastAsia="方正黑体_GBK" w:cs="Times New Roman"/>
          <w:sz w:val="32"/>
          <w:szCs w:val="32"/>
          <w:lang w:bidi="ar-SA"/>
        </w:rPr>
      </w:pPr>
    </w:p>
    <w:p w14:paraId="694C368F">
      <w:pPr>
        <w:pStyle w:val="8"/>
        <w:spacing w:after="156" w:afterLines="50" w:line="560" w:lineRule="exact"/>
        <w:ind w:firstLine="720"/>
        <w:jc w:val="center"/>
        <w:rPr>
          <w:rFonts w:hint="eastAsia" w:ascii="方正小标宋_GBK" w:eastAsia="方正小标宋_GBK" w:cs="方正小标宋_GBK"/>
          <w:snapToGrid w:val="0"/>
          <w:sz w:val="36"/>
          <w:szCs w:val="36"/>
          <w:lang w:bidi="ar-SA"/>
        </w:rPr>
      </w:pPr>
      <w:r>
        <w:rPr>
          <w:rFonts w:hint="eastAsia" w:ascii="方正小标宋_GBK" w:eastAsia="方正小标宋_GBK" w:cs="方正小标宋_GBK"/>
          <w:bCs/>
          <w:sz w:val="36"/>
          <w:szCs w:val="36"/>
          <w:lang w:bidi="ar-SA"/>
        </w:rPr>
        <w:t>海关监管作业场所（场地）抽查结果公示单</w:t>
      </w:r>
    </w:p>
    <w:tbl>
      <w:tblPr>
        <w:tblStyle w:val="17"/>
        <w:tblW w:w="13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1884"/>
        <w:gridCol w:w="2041"/>
        <w:gridCol w:w="4241"/>
      </w:tblGrid>
      <w:tr w14:paraId="40EA15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Header/>
          <w:jc w:val="center"/>
        </w:trPr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54B58EA5">
            <w:pPr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8EFF1ED">
            <w:pPr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21A5EB6">
            <w:pPr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17D243BD">
            <w:pPr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1884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FF72858">
            <w:pPr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 w14:paraId="76D0FF7D">
            <w:pPr>
              <w:spacing w:line="360" w:lineRule="exact"/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抽查人员</w:t>
            </w:r>
          </w:p>
          <w:p w14:paraId="4B79987F">
            <w:pPr>
              <w:spacing w:line="360" w:lineRule="exact"/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4241" w:type="dxa"/>
            <w:tcBorders>
              <w:tl2br w:val="nil"/>
              <w:tr2bl w:val="nil"/>
            </w:tcBorders>
            <w:vAlign w:val="center"/>
          </w:tcPr>
          <w:p w14:paraId="3F21B449">
            <w:pPr>
              <w:jc w:val="center"/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lang w:bidi="ar-SA"/>
              </w:rPr>
              <w:t>抽查结果</w:t>
            </w:r>
          </w:p>
        </w:tc>
      </w:tr>
      <w:tr w14:paraId="3D66E6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75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49217DE">
            <w:pPr>
              <w:pStyle w:val="31"/>
              <w:snapToGrid w:val="0"/>
              <w:jc w:val="center"/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</w:pP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1</w:t>
            </w:r>
          </w:p>
        </w:tc>
        <w:tc>
          <w:tcPr>
            <w:tcW w:w="1424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0A5D05">
            <w:pPr>
              <w:pStyle w:val="36"/>
              <w:snapToGrid w:val="0"/>
              <w:jc w:val="center"/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</w:pP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吴江海关</w:t>
            </w:r>
          </w:p>
        </w:tc>
        <w:tc>
          <w:tcPr>
            <w:tcW w:w="1620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4923CF77">
            <w:pPr>
              <w:pStyle w:val="36"/>
              <w:snapToGrid w:val="0"/>
              <w:jc w:val="center"/>
              <w:rPr>
                <w:rFonts w:hint="default" w:ascii="方正仿宋_GBK" w:eastAsia="方正仿宋_GBK" w:cs="Times New Roman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202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val="en-US" w:eastAsia="zh-CN" w:bidi="ar-SA"/>
              </w:rPr>
              <w:t>6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.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val="en-US" w:eastAsia="zh-CN" w:bidi="ar-SA"/>
              </w:rPr>
              <w:t>06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.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val="en-US" w:eastAsia="zh-CN" w:bidi="ar-SA"/>
              </w:rPr>
              <w:t>12</w:t>
            </w:r>
          </w:p>
        </w:tc>
        <w:tc>
          <w:tcPr>
            <w:tcW w:w="1534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375065">
            <w:pPr>
              <w:pStyle w:val="29"/>
              <w:snapToGrid w:val="0"/>
              <w:ind w:left="0" w:firstLine="0"/>
              <w:jc w:val="center"/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</w:pP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吴江经济技术开发区公路监管点</w:t>
            </w:r>
          </w:p>
        </w:tc>
        <w:tc>
          <w:tcPr>
            <w:tcW w:w="1884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2A15EC2C">
            <w:pPr>
              <w:pStyle w:val="29"/>
              <w:snapToGrid w:val="0"/>
              <w:jc w:val="center"/>
              <w:rPr>
                <w:rFonts w:hint="eastAsia" w:ascii="方正仿宋_GBK" w:eastAsia="方正仿宋_GBK" w:cs="Times New Roman"/>
                <w:sz w:val="24"/>
                <w:szCs w:val="28"/>
                <w:lang w:eastAsia="zh-CN" w:bidi="ar-SA"/>
              </w:rPr>
            </w:pPr>
            <w:r>
              <w:rPr>
                <w:rFonts w:hint="eastAsia" w:ascii="方正仿宋_GBK" w:eastAsia="方正仿宋_GBK" w:cs="Times New Roman"/>
                <w:sz w:val="24"/>
                <w:szCs w:val="28"/>
                <w:lang w:eastAsia="zh-CN" w:bidi="ar-SA"/>
              </w:rPr>
              <w:t>围网和卡口通道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；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eastAsia="zh-CN" w:bidi="ar-SA"/>
              </w:rPr>
              <w:t>卡口运行情况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  <w:t>；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eastAsia="zh-CN" w:bidi="ar-SA"/>
              </w:rPr>
              <w:t>查验作业区；检疫处理区；场所用房设置；信息化管理系统；视频监控设备；</w:t>
            </w:r>
            <w:bookmarkStart w:id="0" w:name="_GoBack"/>
            <w:bookmarkEnd w:id="0"/>
            <w:r>
              <w:rPr>
                <w:rFonts w:hint="eastAsia" w:ascii="方正仿宋_GBK" w:eastAsia="方正仿宋_GBK" w:cs="Times New Roman"/>
                <w:sz w:val="24"/>
                <w:szCs w:val="28"/>
                <w:lang w:eastAsia="zh-CN" w:bidi="ar-SA"/>
              </w:rPr>
              <w:t>非海关监管货物情况；监管货物放行情况；场所管理制度等；网络安全；不符项的整改情况；口岸卫检情况</w:t>
            </w:r>
          </w:p>
        </w:tc>
        <w:tc>
          <w:tcPr>
            <w:tcW w:w="204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F746419">
            <w:pPr>
              <w:pStyle w:val="26"/>
              <w:snapToGrid w:val="0"/>
              <w:spacing w:line="320" w:lineRule="exact"/>
              <w:rPr>
                <w:rFonts w:hint="eastAsia" w:ascii="方正仿宋_GBK" w:eastAsia="方正仿宋_GBK" w:cs="Times New Roman"/>
                <w:sz w:val="24"/>
                <w:szCs w:val="28"/>
              </w:rPr>
            </w:pPr>
            <w:r>
              <w:rPr>
                <w:rFonts w:hint="eastAsia" w:ascii="方正仿宋_GBK" w:eastAsia="方正仿宋_GBK" w:cs="Times New Roman"/>
                <w:sz w:val="24"/>
                <w:szCs w:val="28"/>
                <w:lang w:eastAsia="zh-CN"/>
              </w:rPr>
              <w:t>姚惠玉</w:t>
            </w:r>
            <w:r>
              <w:rPr>
                <w:rFonts w:hint="eastAsia" w:ascii="方正仿宋_GBK" w:eastAsia="方正仿宋_GBK" w:cs="Times New Roman"/>
                <w:sz w:val="24"/>
                <w:szCs w:val="28"/>
              </w:rPr>
              <w:t>（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23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val="en-US" w:eastAsia="zh-CN"/>
              </w:rPr>
              <w:t>1004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0</w:t>
            </w:r>
            <w:r>
              <w:rPr>
                <w:rFonts w:hint="eastAsia" w:ascii="方正仿宋_GBK" w:eastAsia="方正仿宋_GBK" w:cs="Times New Roman"/>
                <w:sz w:val="24"/>
                <w:szCs w:val="28"/>
              </w:rPr>
              <w:t>）</w:t>
            </w:r>
          </w:p>
          <w:p w14:paraId="010A1FD5">
            <w:pPr>
              <w:pStyle w:val="26"/>
              <w:snapToGrid w:val="0"/>
              <w:spacing w:line="320" w:lineRule="exact"/>
              <w:rPr>
                <w:rFonts w:hint="eastAsia" w:eastAsia="方正仿宋_GBK"/>
                <w:lang w:eastAsia="zh-CN"/>
              </w:rPr>
            </w:pPr>
            <w:r>
              <w:rPr>
                <w:rFonts w:hint="eastAsia" w:ascii="方正仿宋_GBK" w:eastAsia="方正仿宋_GBK" w:cs="Times New Roman"/>
                <w:sz w:val="24"/>
                <w:szCs w:val="28"/>
                <w:lang w:eastAsia="zh-CN"/>
              </w:rPr>
              <w:t>陈曦</w:t>
            </w:r>
            <w:r>
              <w:rPr>
                <w:rFonts w:hint="eastAsia" w:ascii="方正仿宋_GBK" w:eastAsia="方正仿宋_GBK" w:cs="Times New Roman"/>
                <w:sz w:val="24"/>
                <w:szCs w:val="28"/>
              </w:rPr>
              <w:t>（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23</w:t>
            </w:r>
            <w:r>
              <w:rPr>
                <w:rFonts w:hint="eastAsia" w:ascii="方正仿宋_GBK" w:eastAsia="方正仿宋_GBK" w:cs="Times New Roman"/>
                <w:sz w:val="24"/>
                <w:szCs w:val="28"/>
                <w:lang w:val="en-US" w:eastAsia="zh-CN"/>
              </w:rPr>
              <w:t>63860</w:t>
            </w:r>
            <w:r>
              <w:rPr>
                <w:rFonts w:hint="eastAsia" w:ascii="方正仿宋_GBK" w:eastAsia="方正仿宋_GBK" w:cs="Times New Roman"/>
                <w:sz w:val="24"/>
                <w:szCs w:val="28"/>
              </w:rPr>
              <w:t>）</w:t>
            </w:r>
          </w:p>
        </w:tc>
        <w:tc>
          <w:tcPr>
            <w:tcW w:w="424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290EA96">
            <w:pPr>
              <w:pStyle w:val="24"/>
              <w:snapToGrid w:val="0"/>
              <w:jc w:val="center"/>
              <w:rPr>
                <w:rFonts w:hint="eastAsia" w:ascii="方正仿宋_GBK" w:eastAsia="方正仿宋_GBK" w:cs="Times New Roman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bidi="ar-SA"/>
              </w:rPr>
              <w:t>未见异常</w:t>
            </w:r>
          </w:p>
        </w:tc>
      </w:tr>
    </w:tbl>
    <w:p w14:paraId="57CEB15D">
      <w:pPr>
        <w:jc w:val="left"/>
      </w:pP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等线">
    <w:altName w:val="方正黑体_GBK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兰亭黑_GBK">
    <w:panose1 w:val="02000000000000000000"/>
    <w:charset w:val="86"/>
    <w:family w:val="script"/>
    <w:pitch w:val="default"/>
    <w:sig w:usb0="A00002BF" w:usb1="3ACF7CFA" w:usb2="0008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3BFF0073"/>
    <w:rsid w:val="3E5109B3"/>
    <w:rsid w:val="768F95E8"/>
    <w:rsid w:val="777F763F"/>
    <w:rsid w:val="D6FC6079"/>
    <w:rsid w:val="EBEB8B85"/>
    <w:rsid w:val="ECFEBBC4"/>
    <w:rsid w:val="EDB75E99"/>
    <w:rsid w:val="F96B605B"/>
    <w:rsid w:val="FCD168E6"/>
    <w:rsid w:val="FFCF55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8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qFormat/>
    <w:uiPriority w:val="0"/>
    <w:pPr>
      <w:ind w:left="420"/>
    </w:pPr>
  </w:style>
  <w:style w:type="paragraph" w:styleId="6">
    <w:name w:val="caption"/>
    <w:basedOn w:val="1"/>
    <w:next w:val="1"/>
    <w:qFormat/>
    <w:uiPriority w:val="0"/>
    <w:rPr>
      <w:rFonts w:ascii="Arial" w:hAnsi="Arial" w:eastAsia="黑体"/>
      <w:b/>
      <w:sz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Plain Text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9">
    <w:name w:val="endnote text"/>
    <w:basedOn w:val="1"/>
    <w:qFormat/>
    <w:uiPriority w:val="0"/>
    <w:pPr>
      <w:snapToGrid w:val="0"/>
      <w:jc w:val="left"/>
    </w:pPr>
  </w:style>
  <w:style w:type="paragraph" w:styleId="10">
    <w:name w:val="Balloon Text"/>
    <w:basedOn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3">
    <w:name w:val="index heading"/>
    <w:basedOn w:val="1"/>
    <w:next w:val="14"/>
    <w:qFormat/>
    <w:uiPriority w:val="0"/>
    <w:rPr>
      <w:rFonts w:ascii="Arial" w:hAnsi="Arial"/>
      <w:b/>
    </w:rPr>
  </w:style>
  <w:style w:type="paragraph" w:styleId="14">
    <w:name w:val="index 1"/>
    <w:basedOn w:val="1"/>
    <w:next w:val="1"/>
    <w:qFormat/>
    <w:uiPriority w:val="0"/>
  </w:style>
  <w:style w:type="paragraph" w:styleId="1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6">
    <w:name w:val="table of figures"/>
    <w:basedOn w:val="1"/>
    <w:next w:val="1"/>
    <w:qFormat/>
    <w:uiPriority w:val="0"/>
  </w:style>
  <w:style w:type="character" w:styleId="19">
    <w:name w:val="endnote reference"/>
    <w:basedOn w:val="18"/>
    <w:qFormat/>
    <w:uiPriority w:val="0"/>
    <w:rPr>
      <w:vertAlign w:val="superscript"/>
    </w:rPr>
  </w:style>
  <w:style w:type="character" w:styleId="20">
    <w:name w:val="page number"/>
    <w:basedOn w:val="18"/>
    <w:qFormat/>
    <w:uiPriority w:val="0"/>
  </w:style>
  <w:style w:type="character" w:styleId="21">
    <w:name w:val="line number"/>
    <w:basedOn w:val="18"/>
    <w:qFormat/>
    <w:uiPriority w:val="0"/>
  </w:style>
  <w:style w:type="character" w:styleId="22">
    <w:name w:val="annotation reference"/>
    <w:basedOn w:val="18"/>
    <w:qFormat/>
    <w:uiPriority w:val="0"/>
    <w:rPr>
      <w:sz w:val="21"/>
    </w:rPr>
  </w:style>
  <w:style w:type="character" w:styleId="23">
    <w:name w:val="footnote reference"/>
    <w:basedOn w:val="18"/>
    <w:qFormat/>
    <w:uiPriority w:val="0"/>
    <w:rPr>
      <w:vertAlign w:val="superscript"/>
    </w:rPr>
  </w:style>
  <w:style w:type="paragraph" w:customStyle="1" w:styleId="24">
    <w:name w:val="样式 8 10 磅"/>
    <w:next w:val="6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5 10 磅"/>
    <w:next w:val="12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next w:val="13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6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6 10 磅"/>
    <w:next w:val="11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1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2 10 磅"/>
    <w:next w:val="15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15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7 10 磅"/>
    <w:next w:val="9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8 10 磅"/>
    <w:next w:val="5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4 10 磅"/>
    <w:next w:val="7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next w:val="16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9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5 10 磅"/>
    <w:qFormat/>
    <w:uiPriority w:val="0"/>
    <w:pPr>
      <w:widowControl w:val="0"/>
      <w:jc w:val="both"/>
    </w:pPr>
    <w:rPr>
      <w:rFonts w:ascii="等线" w:hAnsi="方正兰亭黑_GBK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6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8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9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3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E9C149A1-8186-4BE1-9276-1E2EC0CC15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0</Words>
  <Characters>141</Characters>
  <Lines>0</Lines>
  <Paragraphs>5</Paragraphs>
  <TotalTime>23</TotalTime>
  <ScaleCrop>false</ScaleCrop>
  <LinksUpToDate>false</LinksUpToDate>
  <CharactersWithSpaces>189</CharactersWithSpaces>
  <Application>WPS Office_12.1.0.17900_F1E327BC-269C-435d-A152-05C5408002CA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2021-06-26T00:19:00Z</dcterms:created>
  <dc:creator>杨光</dc:creator>
  <cp:lastModifiedBy>nj6586</cp:lastModifiedBy>
  <cp:lastPrinted>2023-12-04T01:36:00Z</cp:lastPrinted>
  <dcterms:modified xsi:type="dcterms:W3CDTF">2026-06-12T15:59:18Z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1E14E0224EC3E84B19EEAE6794A720CD_42</vt:lpwstr>
  </property>
</Properties>
</file>