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9"/>
        <w:jc w:val="center"/>
        <w:rPr>
          <w:rFonts w:ascii="方正小标宋_GBK" w:eastAsia="方正小标宋_GBK" w:cs="方正小标宋_GBK" w:hint="eastAsia"/>
          <w:sz w:val="44"/>
          <w:szCs w:val="44"/>
          <w:lang w:bidi="ar-SA"/>
        </w:rPr>
      </w:pPr>
      <w:bookmarkStart w:id="0" w:name="_Hlk25540369"/>
      <w:bookmarkStart w:id="1" w:name="cogw__正文__file"/>
      <w:r>
        <w:rPr>
          <w:rFonts w:ascii="方正小标宋_GBK" w:eastAsia="方正小标宋_GBK" w:cs="方正小标宋_GBK" w:hint="eastAsia"/>
          <w:sz w:val="44"/>
          <w:szCs w:val="44"/>
          <w:lang w:bidi="ar-SA"/>
        </w:rPr>
        <w:t>宿迁海关2025年政府信息公开工作年度报告</w:t>
      </w:r>
      <w:bookmarkEnd w:id="0"/>
    </w:p>
    <w:p>
      <w:pPr>
        <w:pStyle w:val="39"/>
        <w:jc w:val="center"/>
        <w:rPr>
          <w:rFonts w:ascii="方正小标宋_GBK" w:eastAsia="方正小标宋_GBK" w:cs="方正小标宋_GBK" w:hint="eastAsia"/>
          <w:sz w:val="44"/>
          <w:szCs w:val="44"/>
          <w:lang w:bidi="ar-SA"/>
        </w:rPr>
      </w:pPr>
    </w:p>
    <w:p>
      <w:pPr>
        <w:pStyle w:val="40"/>
        <w:widowControl/>
        <w:shd w:val="clear" w:color="auto" w:fill="FFFFFF"/>
        <w:adjustRightInd w:val="0"/>
        <w:snapToGrid w:val="0"/>
        <w:spacing w:beforeAutospacing="0" w:afterAutospacing="0" w:line="560" w:lineRule="exact"/>
        <w:ind w:firstLineChars="200" w:firstLine="640"/>
        <w:jc w:val="both"/>
        <w:rPr>
          <w:color w:val="000000"/>
          <w:sz w:val="21"/>
          <w:szCs w:val="21"/>
        </w:rPr>
      </w:pPr>
      <w:r>
        <w:rPr>
          <w:rFonts w:eastAsia="方正仿宋_GBK" w:hint="eastAsia"/>
          <w:color w:val="000000"/>
          <w:sz w:val="32"/>
          <w:szCs w:val="32"/>
        </w:rPr>
        <w:t>本报告根据《中华人民共和国政府信息公开条例》（国务院令第</w:t>
      </w:r>
      <w:r>
        <w:rPr>
          <w:rFonts w:eastAsia="方正仿宋_GBK"/>
          <w:color w:val="000000"/>
          <w:sz w:val="32"/>
          <w:szCs w:val="32"/>
        </w:rPr>
        <w:t>711</w:t>
      </w:r>
      <w:r>
        <w:rPr>
          <w:rFonts w:eastAsia="方正仿宋_GBK" w:hint="eastAsia"/>
          <w:color w:val="000000"/>
          <w:sz w:val="32"/>
          <w:szCs w:val="32"/>
        </w:rPr>
        <w:t>号）和《国务院办公厅政府信息与政务公开办公室关于印发〈中华人民共和国政府信息公开工作年度报告格式〉的通知》（国办公开办函〔</w:t>
      </w:r>
      <w:r>
        <w:rPr>
          <w:rFonts w:eastAsia="方正仿宋_GBK"/>
          <w:color w:val="000000"/>
          <w:sz w:val="32"/>
          <w:szCs w:val="32"/>
        </w:rPr>
        <w:t>2021</w:t>
      </w:r>
      <w:r>
        <w:rPr>
          <w:rFonts w:eastAsia="方正仿宋_GBK" w:hint="eastAsia"/>
          <w:color w:val="000000"/>
          <w:sz w:val="32"/>
          <w:szCs w:val="32"/>
        </w:rPr>
        <w:t>〕</w:t>
      </w:r>
      <w:r>
        <w:rPr>
          <w:rFonts w:eastAsia="方正仿宋_GBK"/>
          <w:color w:val="000000"/>
          <w:sz w:val="32"/>
          <w:szCs w:val="32"/>
        </w:rPr>
        <w:t>30</w:t>
      </w:r>
      <w:r>
        <w:rPr>
          <w:rFonts w:eastAsia="方正仿宋_GBK" w:hint="eastAsia"/>
          <w:color w:val="000000"/>
          <w:sz w:val="32"/>
          <w:szCs w:val="32"/>
        </w:rPr>
        <w:t>号）要求，梳理</w:t>
      </w:r>
      <w:r>
        <w:rPr>
          <w:rFonts w:eastAsia="方正仿宋_GBK"/>
          <w:color w:val="000000"/>
          <w:sz w:val="32"/>
          <w:szCs w:val="32"/>
        </w:rPr>
        <w:t>2025</w:t>
      </w:r>
      <w:r>
        <w:rPr>
          <w:rFonts w:eastAsia="方正仿宋_GBK" w:hint="eastAsia"/>
          <w:color w:val="000000"/>
          <w:sz w:val="32"/>
          <w:szCs w:val="32"/>
        </w:rPr>
        <w:t>年度宿迁海关政府信息公开工作情况编制而成。年报中所列数据的统计期限，自</w:t>
      </w:r>
      <w:r>
        <w:rPr>
          <w:rFonts w:eastAsia="方正仿宋_GBK"/>
          <w:color w:val="000000"/>
          <w:sz w:val="32"/>
          <w:szCs w:val="32"/>
        </w:rPr>
        <w:t>2025</w:t>
      </w:r>
      <w:r>
        <w:rPr>
          <w:rFonts w:eastAsia="方正仿宋_GBK" w:hint="eastAsia"/>
          <w:color w:val="000000"/>
          <w:sz w:val="32"/>
          <w:szCs w:val="32"/>
        </w:rPr>
        <w:t>年</w:t>
      </w:r>
      <w:r>
        <w:rPr>
          <w:rFonts w:eastAsia="方正仿宋_GBK"/>
          <w:color w:val="000000"/>
          <w:sz w:val="32"/>
          <w:szCs w:val="32"/>
        </w:rPr>
        <w:t>1</w:t>
      </w:r>
      <w:r>
        <w:rPr>
          <w:rFonts w:eastAsia="方正仿宋_GBK" w:hint="eastAsia"/>
          <w:color w:val="000000"/>
          <w:sz w:val="32"/>
          <w:szCs w:val="32"/>
        </w:rPr>
        <w:t>月</w:t>
      </w:r>
      <w:r>
        <w:rPr>
          <w:rFonts w:eastAsia="方正仿宋_GBK"/>
          <w:color w:val="000000"/>
          <w:sz w:val="32"/>
          <w:szCs w:val="32"/>
        </w:rPr>
        <w:t>1</w:t>
      </w:r>
      <w:r>
        <w:rPr>
          <w:rFonts w:eastAsia="方正仿宋_GBK" w:hint="eastAsia"/>
          <w:color w:val="000000"/>
          <w:sz w:val="32"/>
          <w:szCs w:val="32"/>
        </w:rPr>
        <w:t>日起至</w:t>
      </w:r>
      <w:r>
        <w:rPr>
          <w:rFonts w:eastAsia="方正仿宋_GBK"/>
          <w:color w:val="000000"/>
          <w:sz w:val="32"/>
          <w:szCs w:val="32"/>
        </w:rPr>
        <w:t>2025</w:t>
      </w:r>
      <w:r>
        <w:rPr>
          <w:rFonts w:eastAsia="方正仿宋_GBK" w:hint="eastAsia"/>
          <w:color w:val="000000"/>
          <w:sz w:val="32"/>
          <w:szCs w:val="32"/>
        </w:rPr>
        <w:t>年</w:t>
      </w:r>
      <w:r>
        <w:rPr>
          <w:rFonts w:eastAsia="方正仿宋_GBK"/>
          <w:color w:val="000000"/>
          <w:sz w:val="32"/>
          <w:szCs w:val="32"/>
        </w:rPr>
        <w:t>12</w:t>
      </w:r>
      <w:r>
        <w:rPr>
          <w:rFonts w:eastAsia="方正仿宋_GBK" w:hint="eastAsia"/>
          <w:color w:val="000000"/>
          <w:sz w:val="32"/>
          <w:szCs w:val="32"/>
        </w:rPr>
        <w:t>月</w:t>
      </w:r>
      <w:r>
        <w:rPr>
          <w:rFonts w:eastAsia="方正仿宋_GBK"/>
          <w:color w:val="000000"/>
          <w:sz w:val="32"/>
          <w:szCs w:val="32"/>
        </w:rPr>
        <w:t>31</w:t>
      </w:r>
      <w:r>
        <w:rPr>
          <w:rFonts w:eastAsia="方正仿宋_GBK" w:hint="eastAsia"/>
          <w:color w:val="000000"/>
          <w:sz w:val="32"/>
          <w:szCs w:val="32"/>
        </w:rPr>
        <w:t>日止。如</w:t>
      </w:r>
      <w:bookmarkStart w:id="2" w:name="_GoBack"/>
      <w:bookmarkEnd w:id="2"/>
      <w:r>
        <w:rPr>
          <w:rFonts w:eastAsia="方正仿宋_GBK" w:hint="eastAsia"/>
          <w:color w:val="000000"/>
          <w:sz w:val="32"/>
          <w:szCs w:val="32"/>
        </w:rPr>
        <w:t>对报告有意见、建议，请联系宿迁海关办公室（</w:t>
      </w:r>
      <w:r>
        <w:rPr>
          <w:rFonts w:eastAsia="方正仿宋_GBK"/>
          <w:color w:val="000000"/>
          <w:sz w:val="32"/>
          <w:szCs w:val="32"/>
        </w:rPr>
        <w:t>0527-80760012</w:t>
      </w:r>
      <w:r>
        <w:rPr>
          <w:rFonts w:eastAsia="方正仿宋_GBK" w:hint="eastAsia"/>
          <w:color w:val="000000"/>
          <w:sz w:val="32"/>
          <w:szCs w:val="32"/>
        </w:rPr>
        <w:t>）；电子邮箱</w:t>
      </w:r>
      <w:r>
        <w:rPr>
          <w:rFonts w:eastAsia="方正仿宋_GBK"/>
          <w:color w:val="000000"/>
          <w:sz w:val="32"/>
        </w:rPr>
        <w:t>njsqhg_zwgk@customs.gov.cn</w:t>
      </w:r>
      <w:r>
        <w:rPr>
          <w:rFonts w:eastAsia="方正仿宋_GBK" w:hint="eastAsia"/>
          <w:color w:val="000000"/>
          <w:sz w:val="32"/>
          <w:szCs w:val="32"/>
        </w:rPr>
        <w:t>）。</w:t>
      </w:r>
    </w:p>
    <w:p>
      <w:pPr>
        <w:pStyle w:val="26"/>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lang w:bidi="ar-SA"/>
        </w:rPr>
      </w:pPr>
      <w:r>
        <w:rPr>
          <w:rFonts w:ascii="方正黑体_GBK" w:eastAsia="方正黑体_GBK" w:cs="楷体_GB2312" w:hint="eastAsia"/>
          <w:bCs/>
          <w:sz w:val="32"/>
          <w:szCs w:val="32"/>
          <w:shd w:val="clear" w:color="auto" w:fill="FFFFFF"/>
          <w:lang w:bidi="ar-SA"/>
        </w:rPr>
        <w:t>一、总体情况</w:t>
      </w:r>
    </w:p>
    <w:p>
      <w:pPr>
        <w:pStyle w:val="41"/>
        <w:adjustRightInd w:val="0"/>
        <w:snapToGrid w:val="0"/>
        <w:ind w:firstLineChars="200" w:firstLine="616"/>
        <w:rPr>
          <w:color w:val="000000"/>
          <w:spacing w:val="-6"/>
        </w:rPr>
      </w:pPr>
      <w:r>
        <w:rPr>
          <w:color w:val="000000"/>
          <w:spacing w:val="-6"/>
        </w:rPr>
        <w:t>2025年，</w:t>
      </w:r>
      <w:r>
        <w:rPr>
          <w:rFonts w:hint="eastAsia"/>
          <w:color w:val="000000"/>
          <w:spacing w:val="-6"/>
        </w:rPr>
        <w:t>宿迁海关坚持以习近平新时代中国特色社会主义思想为指导，</w:t>
      </w:r>
      <w:r>
        <w:rPr>
          <w:color w:val="000000"/>
          <w:spacing w:val="-6"/>
        </w:rPr>
        <w:t>全面系统</w:t>
      </w:r>
      <w:r>
        <w:rPr>
          <w:rFonts w:hint="eastAsia"/>
          <w:color w:val="000000"/>
          <w:spacing w:val="-6"/>
        </w:rPr>
        <w:t>深入</w:t>
      </w:r>
      <w:r>
        <w:rPr>
          <w:color w:val="000000"/>
          <w:spacing w:val="-6"/>
        </w:rPr>
        <w:t>学习宣传</w:t>
      </w:r>
      <w:r>
        <w:rPr>
          <w:rFonts w:hint="eastAsia"/>
          <w:color w:val="000000"/>
          <w:spacing w:val="-6"/>
        </w:rPr>
        <w:t>贯彻党的</w:t>
      </w:r>
      <w:r>
        <w:rPr>
          <w:color w:val="000000"/>
          <w:spacing w:val="-6"/>
        </w:rPr>
        <w:t>二十大及二十届历次全会</w:t>
      </w:r>
      <w:r>
        <w:rPr>
          <w:rFonts w:hint="eastAsia"/>
          <w:color w:val="000000"/>
          <w:spacing w:val="-6"/>
        </w:rPr>
        <w:t>精神，树牢以人民为中心的宗旨意识，按照《中华人民共和国政府信息公开条例》等规定，认真贯彻落实海关总署和南京海关关于政府信息公开的各项部署要求，不断提升政府信息公开工作质量。</w:t>
      </w:r>
    </w:p>
    <w:p>
      <w:pPr>
        <w:pStyle w:val="42"/>
        <w:adjustRightInd w:val="0"/>
        <w:snapToGrid w:val="0"/>
        <w:ind w:firstLineChars="200" w:firstLine="624"/>
        <w:rPr>
          <w:rFonts w:hint="eastAsia"/>
          <w:color w:val="000000"/>
          <w:spacing w:val="-6"/>
        </w:rPr>
      </w:pPr>
      <w:r>
        <w:rPr>
          <w:rFonts w:hint="eastAsia"/>
          <w:b/>
          <w:bCs/>
          <w:szCs w:val="32"/>
        </w:rPr>
        <w:t>一是</w:t>
      </w:r>
      <w:r>
        <w:rPr>
          <w:rFonts w:hint="eastAsia"/>
          <w:b/>
          <w:bCs/>
        </w:rPr>
        <w:t>推进政府信息公开规范运行</w:t>
      </w:r>
      <w:r>
        <w:rPr>
          <w:rFonts w:hint="eastAsia"/>
          <w:b/>
          <w:bCs/>
          <w:szCs w:val="32"/>
        </w:rPr>
        <w:t>。</w:t>
      </w:r>
      <w:r>
        <w:rPr>
          <w:color w:val="000000"/>
          <w:kern w:val="0"/>
          <w:szCs w:val="32"/>
        </w:rPr>
        <w:t>2025年，</w:t>
      </w:r>
      <w:r>
        <w:rPr>
          <w:rFonts w:hint="eastAsia"/>
          <w:szCs w:val="32"/>
        </w:rPr>
        <w:t>宿迁海关</w:t>
      </w:r>
      <w:r>
        <w:rPr>
          <w:szCs w:val="32"/>
        </w:rPr>
        <w:t>通过南京海关门户网站</w:t>
      </w:r>
      <w:r>
        <w:rPr>
          <w:rFonts w:hint="eastAsia"/>
          <w:szCs w:val="32"/>
        </w:rPr>
        <w:t>主动公开行政许可</w:t>
      </w:r>
      <w:r>
        <w:rPr>
          <w:szCs w:val="32"/>
        </w:rPr>
        <w:t>0条</w:t>
      </w:r>
      <w:r>
        <w:rPr>
          <w:rFonts w:hint="eastAsia"/>
          <w:szCs w:val="32"/>
        </w:rPr>
        <w:t>、行</w:t>
      </w:r>
      <w:r>
        <w:rPr>
          <w:szCs w:val="32"/>
        </w:rPr>
        <w:t>政处罚事项1条</w:t>
      </w:r>
      <w:r>
        <w:rPr>
          <w:color w:val="000000"/>
          <w:kern w:val="0"/>
          <w:szCs w:val="32"/>
        </w:rPr>
        <w:t>。</w:t>
      </w:r>
      <w:r>
        <w:rPr>
          <w:rFonts w:hint="eastAsia"/>
          <w:color w:val="000000"/>
          <w:spacing w:val="-6"/>
        </w:rPr>
        <w:t>做好财政信息公开，按照</w:t>
      </w:r>
      <w:r>
        <w:rPr>
          <w:color w:val="000000"/>
          <w:spacing w:val="-6"/>
        </w:rPr>
        <w:t>南京海关</w:t>
      </w:r>
      <w:r>
        <w:rPr>
          <w:rFonts w:hint="eastAsia"/>
          <w:color w:val="000000"/>
          <w:spacing w:val="-6"/>
        </w:rPr>
        <w:t>统一部署，及时准确对外公开本关2025年预算和2024年决算信息</w:t>
      </w:r>
      <w:r>
        <w:rPr>
          <w:color w:val="000000"/>
          <w:spacing w:val="-6"/>
        </w:rPr>
        <w:t>。</w:t>
      </w:r>
      <w:r>
        <w:rPr>
          <w:rFonts w:hint="eastAsia"/>
          <w:color w:val="000000"/>
          <w:spacing w:val="-6"/>
        </w:rPr>
        <w:t>做好依申请公开，全年收到政府信息公开申请</w:t>
      </w:r>
      <w:r>
        <w:rPr>
          <w:color w:val="000000"/>
          <w:spacing w:val="-6"/>
        </w:rPr>
        <w:t>3条</w:t>
      </w:r>
      <w:r>
        <w:rPr>
          <w:rFonts w:hint="eastAsia"/>
          <w:color w:val="000000"/>
          <w:spacing w:val="-6"/>
        </w:rPr>
        <w:t>，</w:t>
      </w:r>
      <w:r>
        <w:rPr>
          <w:color w:val="000000"/>
          <w:spacing w:val="-6"/>
        </w:rPr>
        <w:t>均按时进行答复处理。全年未</w:t>
      </w:r>
      <w:r>
        <w:rPr>
          <w:rFonts w:hint="eastAsia"/>
          <w:color w:val="000000"/>
          <w:spacing w:val="-6"/>
        </w:rPr>
        <w:t>发生依申请公开申请人申请行政复议、提起行政诉讼的情事。</w:t>
      </w:r>
      <w:r>
        <w:rPr>
          <w:rFonts w:hint="eastAsia"/>
        </w:rPr>
        <w:t>常态化做好办公大楼政务公开栏内容更新维护，搭建便捷高效的政民互动桥梁。严格落实政府信息公开保密审查机制，切实筑牢政务公开安全防线。</w:t>
      </w:r>
    </w:p>
    <w:p>
      <w:pPr>
        <w:pStyle w:val="43"/>
        <w:adjustRightInd w:val="0"/>
        <w:snapToGrid w:val="0"/>
        <w:ind w:firstLineChars="200" w:firstLine="624"/>
        <w:rPr>
          <w:rFonts w:hint="eastAsia"/>
          <w:color w:val="000000"/>
          <w:spacing w:val="-6"/>
        </w:rPr>
      </w:pPr>
      <w:r>
        <w:rPr>
          <w:rFonts w:hint="eastAsia"/>
          <w:b/>
          <w:bCs/>
          <w:szCs w:val="32"/>
        </w:rPr>
        <w:t>二是</w:t>
      </w:r>
      <w:r>
        <w:rPr>
          <w:rFonts w:hint="eastAsia"/>
          <w:b/>
          <w:bCs/>
        </w:rPr>
        <w:t>深化惠企政策解读落地见效。</w:t>
      </w:r>
      <w:r>
        <w:rPr>
          <w:rFonts w:ascii="Times New Roman" w:eastAsia="方正仿宋_GBK" w:cs="方正仿宋_GBK" w:hAnsi="Times New Roman" w:hint="eastAsia"/>
          <w:color w:val="000000"/>
          <w:sz w:val="32"/>
          <w:szCs w:val="32"/>
          <w:lang w:bidi="ar-SA"/>
        </w:rPr>
        <w:t>精准政策滴灌，聚焦重点企业</w:t>
      </w:r>
      <w:r>
        <w:rPr>
          <w:rFonts w:ascii="Times New Roman" w:eastAsia="方正仿宋_GBK" w:cs="方正仿宋_GBK" w:hAnsi="Times New Roman"/>
          <w:color w:val="000000"/>
          <w:sz w:val="32"/>
          <w:szCs w:val="32"/>
          <w:lang w:bidi="ar-SA"/>
        </w:rPr>
        <w:t>的的</w:t>
      </w:r>
      <w:r>
        <w:rPr>
          <w:rFonts w:ascii="Times New Roman" w:eastAsia="方正仿宋_GBK" w:cs="方正仿宋_GBK" w:hAnsi="Times New Roman" w:hint="eastAsia"/>
          <w:color w:val="000000"/>
          <w:sz w:val="32"/>
          <w:szCs w:val="32"/>
          <w:lang w:bidi="ar-SA"/>
        </w:rPr>
        <w:t>个性化需求，开展“关长送政策上门”活动，</w:t>
      </w:r>
      <w:r>
        <w:rPr>
          <w:rFonts w:ascii="Times New Roman" w:eastAsia="方正仿宋_GBK" w:cs="方正仿宋_GBK" w:hAnsi="Times New Roman"/>
          <w:color w:val="000000"/>
          <w:sz w:val="32"/>
          <w:szCs w:val="32"/>
          <w:lang w:bidi="ar-SA"/>
        </w:rPr>
        <w:t>先后为辖区</w:t>
      </w:r>
      <w:r>
        <w:rPr>
          <w:rFonts w:ascii="Times New Roman" w:eastAsia="方正仿宋_GBK" w:cs="方正仿宋_GBK" w:hAnsi="Times New Roman" w:hint="eastAsia"/>
          <w:color w:val="000000"/>
          <w:sz w:val="32"/>
          <w:szCs w:val="32"/>
          <w:lang w:bidi="ar-SA"/>
        </w:rPr>
        <w:t>重点企业点对点解决疑难问题30</w:t>
      </w:r>
      <w:r>
        <w:rPr>
          <w:rFonts w:ascii="Times New Roman" w:eastAsia="方正仿宋_GBK" w:cs="方正仿宋_GBK" w:hAnsi="Times New Roman"/>
          <w:color w:val="000000"/>
          <w:sz w:val="32"/>
          <w:szCs w:val="32"/>
          <w:lang w:bidi="ar-SA"/>
        </w:rPr>
        <w:t>余</w:t>
      </w:r>
      <w:r>
        <w:rPr>
          <w:rFonts w:ascii="Times New Roman" w:eastAsia="方正仿宋_GBK" w:cs="方正仿宋_GBK" w:hAnsi="Times New Roman" w:hint="eastAsia"/>
          <w:color w:val="000000"/>
          <w:sz w:val="32"/>
          <w:szCs w:val="32"/>
          <w:lang w:bidi="ar-SA"/>
        </w:rPr>
        <w:t>个。</w:t>
      </w:r>
      <w:r>
        <w:rPr>
          <w:rFonts w:hint="eastAsia"/>
          <w:color w:val="000000"/>
          <w:spacing w:val="-6"/>
        </w:rPr>
        <w:t>切实为企纾困，</w:t>
      </w:r>
      <w:r>
        <w:rPr>
          <w:rFonts w:ascii="Times New Roman" w:eastAsia="方正仿宋_GBK" w:cs="方正仿宋_GBK" w:hAnsi="Times New Roman" w:hint="eastAsia"/>
          <w:color w:val="000000"/>
          <w:sz w:val="32"/>
          <w:szCs w:val="32"/>
          <w:lang w:bidi="ar-SA"/>
        </w:rPr>
        <w:t>开展“我进企业换角色”</w:t>
      </w:r>
      <w:r>
        <w:rPr>
          <w:rFonts w:hint="eastAsia"/>
          <w:color w:val="000000"/>
          <w:spacing w:val="-6"/>
        </w:rPr>
        <w:t>跟班作业，现场解决产品归类等问题20余条，预计帮助企业节约资金成本1500万元</w:t>
      </w:r>
      <w:r>
        <w:rPr>
          <w:color w:val="000000"/>
          <w:spacing w:val="-6"/>
        </w:rPr>
        <w:t>。</w:t>
      </w:r>
      <w:r>
        <w:rPr>
          <w:rFonts w:hint="eastAsia"/>
          <w:color w:val="000000"/>
          <w:spacing w:val="-6"/>
        </w:rPr>
        <w:t>服务外贸新业态，全力助力宿迁保税物流中心（B型）运营起步，指导入驻企业办理相关资质和证书，</w:t>
      </w:r>
      <w:r>
        <w:rPr>
          <w:color w:val="000000"/>
          <w:spacing w:val="-6"/>
        </w:rPr>
        <w:t>2025年宿迁</w:t>
      </w:r>
      <w:r>
        <w:rPr>
          <w:rFonts w:hint="eastAsia"/>
          <w:color w:val="000000"/>
          <w:spacing w:val="-6"/>
        </w:rPr>
        <w:t>保税物流中心（B型</w:t>
      </w:r>
      <w:r>
        <w:rPr>
          <w:color w:val="000000"/>
          <w:spacing w:val="-6"/>
        </w:rPr>
        <w:t>）</w:t>
      </w:r>
      <w:r>
        <w:rPr>
          <w:rFonts w:hint="eastAsia"/>
          <w:color w:val="000000"/>
          <w:spacing w:val="-6"/>
        </w:rPr>
        <w:t>进出口货值</w:t>
      </w:r>
      <w:r>
        <w:rPr>
          <w:color w:val="000000"/>
          <w:spacing w:val="-6"/>
        </w:rPr>
        <w:t>22.5</w:t>
      </w:r>
      <w:r>
        <w:rPr>
          <w:rFonts w:hint="eastAsia"/>
          <w:color w:val="000000"/>
          <w:spacing w:val="-6"/>
        </w:rPr>
        <w:t>亿元。</w:t>
      </w:r>
      <w:r>
        <w:rPr>
          <w:color w:val="000000"/>
          <w:spacing w:val="-6"/>
        </w:rPr>
        <w:t>举办</w:t>
      </w:r>
      <w:r>
        <w:rPr>
          <w:rFonts w:hint="eastAsia"/>
          <w:color w:val="000000"/>
          <w:spacing w:val="-6"/>
        </w:rPr>
        <w:t>宿迁市“</w:t>
      </w:r>
      <w:r>
        <w:rPr>
          <w:color w:val="000000"/>
          <w:spacing w:val="-6"/>
        </w:rPr>
        <w:t>1+X</w:t>
      </w:r>
      <w:r>
        <w:rPr>
          <w:rFonts w:hint="eastAsia"/>
          <w:color w:val="000000"/>
          <w:spacing w:val="-6"/>
        </w:rPr>
        <w:t>”新闻发布会，对“</w:t>
      </w:r>
      <w:r>
        <w:rPr>
          <w:color w:val="000000"/>
          <w:spacing w:val="-6"/>
        </w:rPr>
        <w:t>保税通关</w:t>
      </w:r>
      <w:r>
        <w:rPr>
          <w:rFonts w:hint="eastAsia"/>
          <w:color w:val="000000"/>
          <w:spacing w:val="-6"/>
        </w:rPr>
        <w:t>”“企业主动披露”等重点政策进行深度解读</w:t>
      </w:r>
      <w:r>
        <w:rPr>
          <w:color w:val="000000"/>
          <w:spacing w:val="-6"/>
        </w:rPr>
        <w:t>。</w:t>
      </w:r>
    </w:p>
    <w:p>
      <w:pPr>
        <w:pStyle w:val="44"/>
        <w:adjustRightInd w:val="0"/>
        <w:snapToGrid w:val="0"/>
        <w:ind w:firstLineChars="200" w:firstLine="624"/>
        <w:rPr>
          <w:bCs/>
          <w:kern w:val="0"/>
          <w:szCs w:val="32"/>
        </w:rPr>
      </w:pPr>
      <w:r>
        <w:rPr>
          <w:rFonts w:hint="eastAsia"/>
          <w:b/>
          <w:bCs/>
          <w:szCs w:val="32"/>
        </w:rPr>
        <w:t>三是</w:t>
      </w:r>
      <w:r>
        <w:rPr>
          <w:rFonts w:hint="eastAsia"/>
          <w:b/>
          <w:bCs/>
        </w:rPr>
        <w:t>打造政务公开优质服务矩阵</w:t>
      </w:r>
      <w:r>
        <w:rPr>
          <w:rFonts w:hint="eastAsia"/>
          <w:b/>
          <w:bCs/>
          <w:szCs w:val="32"/>
        </w:rPr>
        <w:t>。</w:t>
      </w:r>
      <w:r>
        <w:rPr>
          <w:szCs w:val="32"/>
        </w:rPr>
        <w:t>常态化开展</w:t>
      </w:r>
      <w:r>
        <w:rPr>
          <w:rFonts w:hint="eastAsia"/>
          <w:szCs w:val="32"/>
        </w:rPr>
        <w:t>“</w:t>
      </w:r>
      <w:r>
        <w:rPr>
          <w:szCs w:val="32"/>
        </w:rPr>
        <w:t>关长接待日</w:t>
      </w:r>
      <w:r>
        <w:rPr>
          <w:rFonts w:hint="eastAsia"/>
          <w:szCs w:val="32"/>
        </w:rPr>
        <w:t>”</w:t>
      </w:r>
      <w:r>
        <w:rPr>
          <w:szCs w:val="32"/>
        </w:rPr>
        <w:t>活动，</w:t>
      </w:r>
      <w:r>
        <w:rPr>
          <w:kern w:val="0"/>
          <w:szCs w:val="32"/>
        </w:rPr>
        <w:t>坚持以</w:t>
      </w:r>
      <w:r>
        <w:rPr>
          <w:rFonts w:hint="eastAsia"/>
          <w:kern w:val="0"/>
          <w:szCs w:val="32"/>
        </w:rPr>
        <w:t>新时代“枫桥经验”</w:t>
      </w:r>
      <w:r>
        <w:rPr>
          <w:kern w:val="0"/>
          <w:szCs w:val="32"/>
        </w:rPr>
        <w:t>为指引</w:t>
      </w:r>
      <w:r>
        <w:rPr>
          <w:rFonts w:hint="eastAsia"/>
          <w:kern w:val="0"/>
          <w:szCs w:val="32"/>
        </w:rPr>
        <w:t>，</w:t>
      </w:r>
      <w:r>
        <w:rPr>
          <w:bCs/>
          <w:kern w:val="0"/>
          <w:szCs w:val="32"/>
        </w:rPr>
        <w:t>用好</w:t>
      </w:r>
      <w:r>
        <w:rPr>
          <w:rFonts w:hint="eastAsia"/>
          <w:bCs/>
          <w:kern w:val="0"/>
          <w:szCs w:val="32"/>
        </w:rPr>
        <w:t>“枫桥经验”实体工作室，开展普法宣传、政策咨询等便民服务</w:t>
      </w:r>
      <w:r>
        <w:rPr>
          <w:bCs/>
          <w:kern w:val="0"/>
          <w:szCs w:val="32"/>
        </w:rPr>
        <w:t>，以热心服务解群众之忧</w:t>
      </w:r>
      <w:r>
        <w:rPr>
          <w:rFonts w:hint="eastAsia"/>
          <w:bCs/>
          <w:kern w:val="0"/>
          <w:szCs w:val="32"/>
        </w:rPr>
        <w:t>。</w:t>
      </w:r>
      <w:r>
        <w:rPr>
          <w:bCs/>
          <w:kern w:val="0"/>
          <w:szCs w:val="32"/>
        </w:rPr>
        <w:t>推进</w:t>
      </w:r>
      <w:r>
        <w:rPr>
          <w:rFonts w:hint="eastAsia"/>
          <w:bCs/>
          <w:kern w:val="0"/>
          <w:szCs w:val="32"/>
        </w:rPr>
        <w:t>“SU公开”政务公开品牌建设，</w:t>
      </w:r>
      <w:r>
        <w:rPr>
          <w:bCs/>
          <w:kern w:val="0"/>
          <w:szCs w:val="32"/>
        </w:rPr>
        <w:t>持续</w:t>
      </w:r>
      <w:r>
        <w:rPr>
          <w:rFonts w:hint="eastAsia"/>
          <w:bCs/>
          <w:kern w:val="0"/>
          <w:szCs w:val="32"/>
        </w:rPr>
        <w:t>优化</w:t>
      </w:r>
      <w:r>
        <w:rPr>
          <w:bCs/>
          <w:kern w:val="0"/>
          <w:szCs w:val="32"/>
        </w:rPr>
        <w:t>业务</w:t>
      </w:r>
      <w:r>
        <w:rPr>
          <w:rFonts w:hint="eastAsia"/>
          <w:bCs/>
          <w:kern w:val="0"/>
          <w:szCs w:val="32"/>
        </w:rPr>
        <w:t>“菜单式”服务机制，制作《享惠通知单》，一次性告知企业享惠内容，采用“预先辅导”的方式，有效提升办事效率。</w:t>
      </w:r>
      <w:r>
        <w:rPr>
          <w:bCs/>
          <w:kern w:val="0"/>
          <w:szCs w:val="32"/>
        </w:rPr>
        <w:t>聚焦智慧海关建设利企便民，</w:t>
      </w:r>
      <w:r>
        <w:rPr>
          <w:rFonts w:hint="eastAsia"/>
          <w:bCs/>
          <w:kern w:val="0"/>
          <w:szCs w:val="32"/>
        </w:rPr>
        <w:t>推进“智能审核+自助打印”模式，原产地证书实现全流程电子化办理，帮助企业实现“零跑腿+秒出证”</w:t>
      </w:r>
      <w:r>
        <w:rPr>
          <w:bCs/>
          <w:kern w:val="0"/>
          <w:szCs w:val="32"/>
        </w:rPr>
        <w:t>。</w:t>
      </w:r>
    </w:p>
    <w:p>
      <w:pPr>
        <w:pStyle w:val="44"/>
        <w:adjustRightInd w:val="0"/>
        <w:snapToGrid w:val="0"/>
        <w:ind w:firstLineChars="200" w:firstLine="624"/>
        <w:rPr>
          <w:rFonts w:ascii="方正黑体_GBK" w:eastAsia="方正黑体_GBK" w:cs="楷体_GB2312" w:hint="eastAsia"/>
          <w:bCs/>
          <w:szCs w:val="32"/>
          <w:shd w:val="clear" w:color="auto" w:fill="FFFFFF"/>
          <w:lang w:bidi="ar-SA"/>
        </w:rPr>
      </w:pPr>
      <w:r>
        <w:rPr>
          <w:rFonts w:ascii="方正黑体_GBK" w:eastAsia="方正黑体_GBK" w:cs="楷体_GB2312" w:hint="eastAsia"/>
          <w:bCs/>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5"/>
              <w:widowControl/>
              <w:spacing w:line="560" w:lineRule="exact"/>
              <w:jc w:val="center"/>
              <w:rPr>
                <w:sz w:val="24"/>
                <w:szCs w:val="24"/>
              </w:rPr>
            </w:pPr>
            <w:r>
              <w:rPr>
                <w:rFonts w:ascii="宋体" w:cs="宋体" w:hint="eastAsia"/>
                <w:kern w:val="0"/>
                <w:sz w:val="24"/>
                <w:szCs w:val="24"/>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
              <w:widowControl/>
              <w:adjustRightInd w:val="0"/>
              <w:snapToGrid w:val="0"/>
              <w:spacing w:line="560" w:lineRule="exact"/>
              <w:jc w:val="center"/>
              <w:rPr>
                <w:sz w:val="24"/>
                <w:szCs w:val="24"/>
              </w:rPr>
            </w:pPr>
            <w:r>
              <w:rPr>
                <w:rFonts w:ascii="宋体" w:cs="宋体" w:hint="eastAsia"/>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7"/>
              <w:spacing w:line="560" w:lineRule="exact"/>
              <w:jc w:val="center"/>
              <w:rPr>
                <w:rFonts w:eastAsia="方正仿宋_GBK" w:cs="宋体"/>
                <w:sz w:val="24"/>
                <w:szCs w:val="24"/>
                <w:lang w:bidi="ar-SA"/>
              </w:rPr>
            </w:pPr>
            <w:r>
              <w:rPr>
                <w:rFonts w:eastAsia="方正仿宋_GBK" w:cs="宋体"/>
                <w:sz w:val="24"/>
                <w:szCs w:val="24"/>
                <w:lang w:bidi="ar-SA"/>
              </w:rPr>
              <w:t>0</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
              <w:widowControl/>
              <w:adjustRightInd w:val="0"/>
              <w:snapToGrid w:val="0"/>
              <w:spacing w:line="560" w:lineRule="exact"/>
              <w:jc w:val="center"/>
              <w:rPr>
                <w:sz w:val="24"/>
                <w:szCs w:val="24"/>
              </w:rPr>
            </w:pPr>
            <w:r>
              <w:rPr>
                <w:rFonts w:ascii="宋体" w:cs="宋体" w:hint="eastAsia"/>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cs="宋体"/>
                <w:sz w:val="24"/>
                <w:szCs w:val="24"/>
                <w:lang w:bidi="ar-SA"/>
              </w:rPr>
            </w:pPr>
            <w:r>
              <w:rPr>
                <w:rFonts w:eastAsia="方正仿宋_GBK" w:cs="宋体"/>
                <w:sz w:val="24"/>
                <w:szCs w:val="24"/>
                <w:lang w:bidi="ar-SA"/>
              </w:rPr>
              <w:t>15</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
              <w:spacing w:line="560" w:lineRule="exact"/>
              <w:jc w:val="center"/>
              <w:rPr>
                <w:rFonts w:eastAsia="方正仿宋_GBK" w:cs="宋体"/>
                <w:sz w:val="24"/>
                <w:szCs w:val="24"/>
                <w:lang w:bidi="ar-SA"/>
              </w:rPr>
            </w:pPr>
            <w:r>
              <w:rPr>
                <w:rFonts w:eastAsia="方正仿宋_GBK" w:cs="宋体"/>
                <w:sz w:val="24"/>
                <w:szCs w:val="24"/>
                <w:lang w:bidi="ar-SA"/>
              </w:rPr>
              <w:t>7</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0"/>
              <w:widowControl/>
              <w:adjustRightInd w:val="0"/>
              <w:snapToGrid w:val="0"/>
              <w:spacing w:line="560" w:lineRule="exact"/>
              <w:jc w:val="center"/>
              <w:rPr>
                <w:sz w:val="24"/>
                <w:szCs w:val="24"/>
              </w:rPr>
            </w:pPr>
            <w:r>
              <w:rPr>
                <w:rFonts w:ascii="宋体" w:cs="宋体" w:hint="eastAsia"/>
                <w:kern w:val="0"/>
                <w:sz w:val="24"/>
                <w:szCs w:val="24"/>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pPr>
            <w:r>
              <w:rPr>
                <w:rFonts w:ascii="宋体" w:cs="宋体" w:hint="eastAsia"/>
                <w:kern w:val="0"/>
                <w:sz w:val="24"/>
                <w:szCs w:val="24"/>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45"/>
              <w:spacing w:line="560" w:lineRule="exact"/>
              <w:jc w:val="center"/>
              <w:rPr>
                <w:rFonts w:eastAsia="方正仿宋_GBK" w:cs="宋体"/>
                <w:sz w:val="24"/>
                <w:szCs w:val="24"/>
                <w:lang w:bidi="ar-SA"/>
              </w:rPr>
            </w:pPr>
            <w:r>
              <w:rPr>
                <w:rFonts w:eastAsia="方正仿宋_GBK" w:cs="宋体"/>
                <w:sz w:val="24"/>
                <w:szCs w:val="24"/>
                <w:lang w:bidi="ar-SA"/>
              </w:rPr>
              <w:t>0</w:t>
            </w:r>
          </w:p>
        </w:tc>
      </w:tr>
    </w:tbl>
    <w:p>
      <w:pPr>
        <w:pStyle w:val="17"/>
        <w:tabs>
          <w:tab w:val="center" w:pos="4153"/>
          <w:tab w:val="right" w:pos="8306"/>
        </w:tabs>
        <w:spacing w:line="560" w:lineRule="exact"/>
      </w:pPr>
    </w:p>
    <w:p>
      <w:pPr>
        <w:pStyle w:val="26"/>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三、收到和处理政府信息公开申请情况</w:t>
      </w:r>
    </w:p>
    <w:p>
      <w:pPr>
        <w:pStyle w:val="17"/>
        <w:tabs>
          <w:tab w:val="center" w:pos="4153"/>
          <w:tab w:val="right" w:pos="8306"/>
        </w:tabs>
        <w:spacing w:line="560" w:lineRule="exact"/>
      </w:pP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pPr>
            <w:r>
              <w:rPr>
                <w:rFonts w:ascii="宋体" w:cs="宋体" w:hint="eastAsia"/>
                <w:kern w:val="0"/>
                <w:sz w:val="20"/>
                <w:szCs w:val="20"/>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5"/>
              <w:widowControl/>
              <w:spacing w:line="560" w:lineRule="exact"/>
              <w:jc w:val="left"/>
              <w:rPr>
                <w:sz w:val="24"/>
                <w:szCs w:val="24"/>
              </w:rPr>
            </w:pPr>
            <w:r>
              <w:rPr>
                <w:rFonts w:ascii="宋体" w:cs="宋体" w:hint="eastAsia"/>
                <w:kern w:val="0"/>
                <w:sz w:val="24"/>
                <w:szCs w:val="24"/>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2</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3</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5"/>
              <w:widowControl/>
              <w:spacing w:line="560" w:lineRule="exact"/>
              <w:jc w:val="left"/>
              <w:rPr>
                <w:sz w:val="24"/>
                <w:szCs w:val="24"/>
              </w:rPr>
            </w:pPr>
            <w:r>
              <w:rPr>
                <w:rFonts w:ascii="宋体" w:cs="宋体" w:hint="eastAsia"/>
                <w:kern w:val="0"/>
                <w:sz w:val="24"/>
                <w:szCs w:val="24"/>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
              <w:spacing w:line="560" w:lineRule="exact"/>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left"/>
              <w:rPr>
                <w:sz w:val="24"/>
                <w:szCs w:val="24"/>
              </w:rPr>
            </w:pPr>
            <w:r>
              <w:rPr>
                <w:rFonts w:ascii="楷体" w:eastAsia="楷体" w:cs="楷体" w:hint="eastAsia"/>
                <w:kern w:val="0"/>
                <w:sz w:val="24"/>
                <w:szCs w:val="24"/>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left"/>
              <w:rPr>
                <w:sz w:val="24"/>
                <w:szCs w:val="24"/>
              </w:rPr>
            </w:pPr>
            <w:r>
              <w:rPr>
                <w:rFonts w:ascii="楷体" w:eastAsia="楷体" w:cs="楷体" w:hint="eastAsia"/>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2</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2</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5"/>
              <w:widowControl/>
              <w:spacing w:line="560" w:lineRule="exact"/>
              <w:rPr>
                <w:rFonts w:ascii="楷体" w:eastAsia="楷体" w:cs="楷体" w:hint="eastAsia"/>
                <w:kern w:val="0"/>
                <w:sz w:val="24"/>
                <w:szCs w:val="24"/>
                <w:lang w:bidi="ar-SA"/>
              </w:rPr>
            </w:pPr>
            <w:r>
              <w:rPr>
                <w:rFonts w:ascii="楷体" w:eastAsia="楷体" w:cs="楷体" w:hint="eastAsia"/>
                <w:kern w:val="0"/>
                <w:sz w:val="24"/>
                <w:szCs w:val="24"/>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5"/>
              <w:widowControl/>
              <w:spacing w:line="560" w:lineRule="exact"/>
              <w:rPr>
                <w:rFonts w:ascii="楷体" w:eastAsia="楷体" w:cs="楷体" w:hint="eastAsia"/>
                <w:kern w:val="0"/>
                <w:sz w:val="24"/>
                <w:szCs w:val="24"/>
                <w:lang w:bidi="ar-SA"/>
              </w:rPr>
            </w:pPr>
            <w:r>
              <w:rPr>
                <w:rFonts w:ascii="楷体" w:eastAsia="楷体" w:cs="楷体" w:hint="eastAsia"/>
                <w:kern w:val="0"/>
                <w:sz w:val="24"/>
                <w:szCs w:val="24"/>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5"/>
              <w:widowControl/>
              <w:spacing w:line="560" w:lineRule="exact"/>
              <w:rPr>
                <w:rFonts w:ascii="楷体" w:eastAsia="楷体" w:cs="楷体" w:hint="eastAsia"/>
                <w:kern w:val="0"/>
                <w:sz w:val="24"/>
                <w:szCs w:val="24"/>
                <w:lang w:bidi="ar-SA"/>
              </w:rPr>
            </w:pPr>
            <w:r>
              <w:rPr>
                <w:rFonts w:ascii="楷体" w:eastAsia="楷体" w:cs="楷体" w:hint="eastAsia"/>
                <w:kern w:val="0"/>
                <w:sz w:val="24"/>
                <w:szCs w:val="24"/>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5"/>
              <w:widowControl/>
              <w:spacing w:line="560" w:lineRule="exact"/>
              <w:rPr>
                <w:rFonts w:ascii="楷体" w:eastAsia="楷体" w:cs="楷体" w:hint="eastAsia"/>
                <w:kern w:val="0"/>
                <w:sz w:val="24"/>
                <w:szCs w:val="24"/>
                <w:lang w:bidi="ar-SA"/>
              </w:rPr>
            </w:pPr>
            <w:r>
              <w:rPr>
                <w:rFonts w:ascii="楷体" w:eastAsia="楷体" w:cs="楷体" w:hint="eastAsia"/>
                <w:kern w:val="0"/>
                <w:sz w:val="24"/>
                <w:szCs w:val="24"/>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rPr>
                <w:sz w:val="24"/>
                <w:szCs w:val="24"/>
              </w:rPr>
            </w:pPr>
            <w:r>
              <w:rPr>
                <w:rFonts w:ascii="楷体" w:eastAsia="楷体" w:cs="楷体" w:hint="eastAsia"/>
                <w:kern w:val="0"/>
                <w:sz w:val="24"/>
                <w:szCs w:val="24"/>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2</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3</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left"/>
            </w:pPr>
            <w:r>
              <w:rPr>
                <w:rFonts w:ascii="宋体" w:cs="宋体" w:hint="eastAsia"/>
                <w:kern w:val="0"/>
                <w:sz w:val="24"/>
                <w:szCs w:val="24"/>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spacing w:line="560" w:lineRule="exact"/>
              <w:jc w:val="center"/>
              <w:rPr>
                <w:rFonts w:eastAsia="方正仿宋_GBK"/>
                <w:sz w:val="24"/>
                <w:szCs w:val="24"/>
              </w:rPr>
            </w:pPr>
            <w:r>
              <w:rPr>
                <w:rFonts w:eastAsia="方正仿宋_GBK"/>
                <w:sz w:val="24"/>
                <w:szCs w:val="24"/>
              </w:rPr>
              <w:t>0</w:t>
            </w:r>
          </w:p>
        </w:tc>
      </w:tr>
    </w:tbl>
    <w:p>
      <w:pPr>
        <w:pStyle w:val="26"/>
        <w:widowControl/>
        <w:shd w:val="clear" w:color="auto" w:fill="FFFFFF"/>
        <w:spacing w:beforeLines="50" w:before="218" w:beforeAutospacing="0" w:after="12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四、政府信息公开行政复议、行政诉讼情况</w:t>
      </w:r>
    </w:p>
    <w:p>
      <w:pPr>
        <w:pStyle w:val="17"/>
        <w:tabs>
          <w:tab w:val="center" w:pos="4153"/>
          <w:tab w:val="right" w:pos="8306"/>
        </w:tabs>
        <w:spacing w:line="560" w:lineRule="exact"/>
      </w:pP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4"/>
                <w:szCs w:val="24"/>
              </w:rPr>
            </w:pPr>
            <w:r>
              <w:rPr>
                <w:rFonts w:ascii="宋体" w:cs="宋体" w:hint="eastAsia"/>
                <w:kern w:val="0"/>
                <w:sz w:val="24"/>
                <w:szCs w:val="24"/>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pacing w:line="560" w:lineRule="exact"/>
              <w:jc w:val="center"/>
              <w:rPr>
                <w:kern w:val="0"/>
                <w:sz w:val="28"/>
                <w:szCs w:val="28"/>
              </w:rPr>
            </w:pPr>
            <w:r>
              <w:rPr>
                <w:kern w:val="0"/>
                <w:sz w:val="28"/>
                <w:szCs w:val="28"/>
              </w:rPr>
              <w:t>0</w:t>
            </w:r>
          </w:p>
        </w:tc>
      </w:tr>
    </w:tbl>
    <w:p>
      <w:pPr>
        <w:pStyle w:val="26"/>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五、存在的主要问题及改进情况</w:t>
      </w:r>
    </w:p>
    <w:p>
      <w:pPr>
        <w:pStyle w:val="58"/>
        <w:adjustRightInd w:val="0"/>
        <w:snapToGrid w:val="0"/>
        <w:ind w:firstLineChars="200" w:firstLine="624"/>
        <w:rPr>
          <w:rFonts w:hint="eastAsia"/>
          <w:szCs w:val="32"/>
        </w:rPr>
      </w:pPr>
      <w:r>
        <w:rPr>
          <w:rFonts w:ascii="方正楷体_GBK" w:eastAsia="方正楷体_GBK" w:hint="eastAsia"/>
          <w:b/>
          <w:bCs/>
        </w:rPr>
        <w:t>（一）2024年年报中所提问题整改情况。</w:t>
      </w:r>
      <w:r>
        <w:rPr>
          <w:rFonts w:ascii="方正仿宋_GBK" w:hint="eastAsia"/>
          <w:bCs/>
        </w:rPr>
        <w:t>针对</w:t>
      </w:r>
      <w:r>
        <w:rPr>
          <w:rFonts w:ascii="方正仿宋_GBK" w:hint="eastAsia"/>
        </w:rPr>
        <w:t>我</w:t>
      </w:r>
      <w:r>
        <w:t>关2024年政府信息公开工作</w:t>
      </w:r>
      <w:r>
        <w:rPr>
          <w:rFonts w:hint="eastAsia"/>
        </w:rPr>
        <w:t>中存在</w:t>
      </w:r>
      <w:r>
        <w:t>的</w:t>
      </w:r>
      <w:r>
        <w:rPr>
          <w:rFonts w:ascii="方正仿宋_GBK" w:cs="方正仿宋_GBK" w:hint="eastAsia"/>
          <w:lang w:bidi="ar-SA"/>
        </w:rPr>
        <w:t>在调动公众参与积极性等方面的工作有待进一步加强</w:t>
      </w:r>
      <w:r>
        <w:rPr>
          <w:rFonts w:ascii="方正仿宋_GBK" w:hint="eastAsia"/>
        </w:rPr>
        <w:t>等问题</w:t>
      </w:r>
      <w:r>
        <w:rPr>
          <w:szCs w:val="32"/>
        </w:rPr>
        <w:t>。2025年</w:t>
      </w:r>
      <w:r>
        <w:rPr>
          <w:rFonts w:hint="eastAsia"/>
          <w:szCs w:val="32"/>
        </w:rPr>
        <w:t>我关靶向施策、精准整改。一是</w:t>
      </w:r>
      <w:r>
        <w:rPr>
          <w:szCs w:val="32"/>
        </w:rPr>
        <w:t>强化</w:t>
      </w:r>
      <w:r>
        <w:rPr>
          <w:rFonts w:hint="eastAsia"/>
          <w:szCs w:val="32"/>
        </w:rPr>
        <w:t>互动参与，组织开展“</w:t>
      </w:r>
      <w:r>
        <w:rPr>
          <w:szCs w:val="32"/>
        </w:rPr>
        <w:t>关长送政策上门</w:t>
      </w:r>
      <w:r>
        <w:rPr>
          <w:rFonts w:hint="eastAsia"/>
          <w:szCs w:val="32"/>
        </w:rPr>
        <w:t>”“</w:t>
      </w:r>
      <w:r>
        <w:rPr>
          <w:szCs w:val="32"/>
        </w:rPr>
        <w:t>我进企业换角色</w:t>
      </w:r>
      <w:r>
        <w:rPr>
          <w:rFonts w:hint="eastAsia"/>
          <w:szCs w:val="32"/>
        </w:rPr>
        <w:t>”</w:t>
      </w:r>
      <w:r>
        <w:rPr>
          <w:szCs w:val="32"/>
        </w:rPr>
        <w:t>等活动，通过</w:t>
      </w:r>
      <w:r>
        <w:rPr>
          <w:rFonts w:hint="eastAsia"/>
          <w:szCs w:val="32"/>
        </w:rPr>
        <w:t>政策解读、</w:t>
      </w:r>
      <w:r>
        <w:rPr>
          <w:szCs w:val="32"/>
        </w:rPr>
        <w:t>关企座谈</w:t>
      </w:r>
      <w:r>
        <w:rPr>
          <w:rFonts w:hint="eastAsia"/>
          <w:szCs w:val="32"/>
        </w:rPr>
        <w:t>等</w:t>
      </w:r>
      <w:r>
        <w:rPr>
          <w:szCs w:val="32"/>
        </w:rPr>
        <w:t>形式</w:t>
      </w:r>
      <w:r>
        <w:rPr>
          <w:rFonts w:hint="eastAsia"/>
          <w:szCs w:val="32"/>
        </w:rPr>
        <w:t>，吸引企业代表积极参与；二是拓宽意见征集渠道，通过</w:t>
      </w:r>
      <w:r>
        <w:rPr>
          <w:szCs w:val="32"/>
        </w:rPr>
        <w:t>热线电话</w:t>
      </w:r>
      <w:r>
        <w:rPr>
          <w:rFonts w:hint="eastAsia"/>
          <w:szCs w:val="32"/>
        </w:rPr>
        <w:t>、</w:t>
      </w:r>
      <w:r>
        <w:rPr>
          <w:szCs w:val="32"/>
        </w:rPr>
        <w:t>政务公开意见箱</w:t>
      </w:r>
      <w:r>
        <w:rPr>
          <w:rFonts w:hint="eastAsia"/>
          <w:szCs w:val="32"/>
        </w:rPr>
        <w:t>等线上线下渠道，公开征集社会各界对海关政务公开工作的意见建议，将合理建议融入政务公开工作优化方案，切实提升公众参与度和满意度。</w:t>
      </w:r>
    </w:p>
    <w:p>
      <w:pPr>
        <w:pStyle w:val="59"/>
        <w:adjustRightInd w:val="0"/>
        <w:snapToGrid w:val="0"/>
        <w:ind w:firstLineChars="200" w:firstLine="624"/>
        <w:rPr>
          <w:rFonts w:ascii="方正仿宋_GBK" w:cs="方正仿宋_GBK" w:hint="eastAsia"/>
          <w:lang w:bidi="ar-SA"/>
        </w:rPr>
      </w:pPr>
      <w:r>
        <w:rPr>
          <w:rFonts w:ascii="方正楷体_GBK" w:eastAsia="方正楷体_GBK" w:hint="eastAsia"/>
          <w:b/>
          <w:bCs/>
        </w:rPr>
        <w:t>（二）目前存在问题。</w:t>
      </w:r>
      <w:r>
        <w:t>2025</w:t>
      </w:r>
      <w:r>
        <w:rPr>
          <w:rFonts w:ascii="方正仿宋_GBK" w:cs="方正仿宋_GBK" w:hint="eastAsia"/>
          <w:lang w:bidi="ar-SA"/>
        </w:rPr>
        <w:t>年宿迁海关信息公开工作取得一定成绩，也有所不足，</w:t>
      </w:r>
      <w:r>
        <w:rPr>
          <w:rFonts w:ascii="方正仿宋_GBK" w:cs="方正仿宋_GBK"/>
          <w:lang w:bidi="ar-SA"/>
        </w:rPr>
        <w:t>主要是</w:t>
      </w:r>
      <w:r>
        <w:rPr>
          <w:rFonts w:ascii="方正仿宋_GBK" w:cs="方正仿宋_GBK" w:hint="eastAsia"/>
          <w:lang w:bidi="ar-SA"/>
        </w:rPr>
        <w:t>政策解读</w:t>
      </w:r>
      <w:r>
        <w:rPr>
          <w:rFonts w:ascii="方正仿宋_GBK" w:cs="方正仿宋_GBK"/>
          <w:lang w:bidi="ar-SA"/>
        </w:rPr>
        <w:t>多样</w:t>
      </w:r>
      <w:r>
        <w:rPr>
          <w:rFonts w:ascii="方正仿宋_GBK" w:cs="方正仿宋_GBK" w:hint="eastAsia"/>
          <w:lang w:bidi="ar-SA"/>
        </w:rPr>
        <w:t>性有待提升，部分政策解读内容偏重于文字表述，可视化、通俗化解读形式较少。</w:t>
      </w:r>
    </w:p>
    <w:p>
      <w:pPr>
        <w:pStyle w:val="26"/>
        <w:widowControl/>
        <w:shd w:val="clear" w:color="auto" w:fill="FFFFFF"/>
        <w:spacing w:beforeAutospacing="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六、其他需要报告的事项</w:t>
      </w:r>
      <w:bookmarkEnd w:id="1"/>
    </w:p>
    <w:p>
      <w:pPr>
        <w:pStyle w:val="60"/>
        <w:adjustRightInd w:val="0"/>
        <w:snapToGrid w:val="0"/>
        <w:ind w:firstLineChars="200" w:firstLine="624"/>
        <w:rPr>
          <w:color w:val="000000"/>
        </w:rPr>
      </w:pPr>
      <w:r>
        <w:rPr>
          <w:color w:val="000000"/>
        </w:rPr>
        <w:t>宿迁海关2025年无收取信息处理费情况。</w:t>
      </w:r>
    </w:p>
    <w:p>
      <w:pPr>
        <w:pStyle w:val="17"/>
        <w:tabs>
          <w:tab w:val="center" w:pos="4153"/>
          <w:tab w:val="right" w:pos="8306"/>
        </w:tabs>
        <w:spacing w:line="560" w:lineRule="exact"/>
      </w:pPr>
    </w:p>
    <w:p>
      <w:pPr>
        <w:pStyle w:val="17"/>
        <w:tabs>
          <w:tab w:val="center" w:pos="4153"/>
          <w:tab w:val="right" w:pos="8306"/>
        </w:tabs>
        <w:spacing w:line="560" w:lineRule="exact"/>
      </w:pPr>
    </w:p>
    <w:p>
      <w:pPr>
        <w:spacing w:line="560" w:lineRule="exact"/>
      </w:pPr>
    </w:p>
    <w:sectPr>
      <w:footerReference w:type="first" r:id="rId2"/>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方正黑体_GBK">
    <w:panose1 w:val="02000000000000000000"/>
    <w:charset w:val="86"/>
    <w:family w:val="script"/>
    <w:pitch w:val="variable"/>
    <w:sig w:usb0="A00002BF" w:usb1="38CF7CFA" w:usb2="00082016" w:usb3="00000000" w:csb0="00040001" w:csb1="00000000"/>
  </w:font>
  <w:font w:name="楷体_GB2312">
    <w:altName w:val="方正楷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宋体">
    <w:altName w:val="华文宋体"/>
    <w:panose1 w:val="02010600030101010101"/>
    <w:charset w:val="86"/>
    <w:family w:val="auto"/>
    <w:pitch w:val="variable"/>
    <w:sig w:usb0="00000003" w:usb1="080E0000" w:usb2="00000000" w:usb3="00000000" w:csb0="00040001" w:csb1="00000000"/>
  </w:font>
  <w:font w:name="楷体">
    <w:altName w:val="方正楷体_GBK"/>
    <w:panose1 w:val="02000000000000000000"/>
    <w:charset w:val="86"/>
    <w:family w:val="script"/>
    <w:pitch w:val="variable"/>
    <w:sig w:usb0="A00002BF" w:usb1="38CF7CFA" w:usb2="00082016" w:usb3="00000000" w:csb0="00040001" w:csb1="00000000"/>
  </w:font>
  <w:font w:name="方正楷体_GBK">
    <w:panose1 w:val="02000000000000000000"/>
    <w:charset w:val="86"/>
    <w:family w:val="script"/>
    <w:pitch w:val="variable"/>
    <w:sig w:usb0="A00002BF" w:usb1="38CF7CFA" w:usb2="0008201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2010609060101010101"/>
    <w:charset w:val="86"/>
    <w:family w:val="auto"/>
    <w:pitch w:val="variable"/>
    <w:sig w:usb0="800002BF" w:usb1="38CF7CFA" w:usb2="00000016" w:usb3="00000000" w:csb0="00040001" w:csb1="00000000"/>
  </w:font>
  <w:font w:name="Courier New">
    <w:altName w:val="DejaVu Sans"/>
    <w:panose1 w:val="02070409020205090404"/>
    <w:charset w:val="00"/>
    <w:family w:val="auto"/>
    <w:pitch w:val="variable"/>
    <w:sig w:usb0="00007A87" w:usb1="80000000" w:usb2="00000008" w:usb3="00000000" w:csb0="400001FF" w:csb1="FFFF0000"/>
  </w:font>
  <w:font w:name="Wingdings">
    <w:altName w:val="DejaVu San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61"/>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6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80"/>
    <w:multiLevelType w:val="singleLevel"/>
    <w:tmpl w:val="00000000"/>
    <w:lvl w:ilvl="0">
      <w:start w:val="1"/>
      <w:numFmt w:val="bullet"/>
      <w:lvlRestart w:val="0"/>
      <w:lvlText w:val=""/>
      <w:lvlJc w:val="left"/>
      <w:pPr>
        <w:tabs>
          <w:tab w:val="num" w:pos="2040"/>
        </w:tabs>
        <w:ind w:left="2040" w:hanging="360"/>
      </w:pPr>
      <w:rPr>
        <w:rFonts w:ascii="Wingdings" w:hAnsi="Wingdings" w:hint="default"/>
      </w:rPr>
    </w:lvl>
  </w:abstractNum>
  <w:abstractNum w:abstractNumId="1">
    <w:nsid w:val="0FFFFF7D"/>
    <w:multiLevelType w:val="singleLevel"/>
    <w:tmpl w:val="00000000"/>
    <w:lvl w:ilvl="0">
      <w:start w:val="1"/>
      <w:numFmt w:val="decimal"/>
      <w:lvlRestart w:val="0"/>
      <w:lvlText w:val="%1."/>
      <w:lvlJc w:val="left"/>
      <w:pPr>
        <w:tabs>
          <w:tab w:val="num" w:pos="1620"/>
        </w:tabs>
        <w:ind w:left="162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73"/>
  <w:doNotDisplayPageBoundaries/>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6"/>
    <w:basedOn w:val="0"/>
    <w:autoRedefine/>
    <w:next w:val="0"/>
    <w:pPr>
      <w:ind w:left="2100"/>
    </w:pPr>
  </w:style>
  <w:style w:type="paragraph" w:styleId="16">
    <w:name w:val="footnote text"/>
    <w:basedOn w:val="0"/>
    <w:pPr>
      <w:snapToGrid w:val="0"/>
      <w:jc w:val="left"/>
    </w:pPr>
    <w:rPr>
      <w:sz w:val="18"/>
      <w:szCs w:val="18"/>
    </w:rPr>
  </w:style>
  <w:style w:type="paragraph" w:styleId="17">
    <w:name w:val="footer"/>
    <w:basedOn w:val="0"/>
    <w:next w:val="15"/>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styleId="18">
    <w:name w:val="table of authorities"/>
    <w:basedOn w:val="0"/>
    <w:next w:val="0"/>
    <w:pPr>
      <w:ind w:left="420"/>
    </w:pPr>
  </w:style>
  <w:style w:type="paragraph" w:styleId="19">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Lucida Sans" w:hAnsi="Courier New"/>
      <w:sz w:val="24"/>
      <w:szCs w:val="24"/>
      <w:lang w:val="en-US" w:eastAsia="zh-CN" w:bidi="ar-SA"/>
    </w:rPr>
  </w:style>
  <w:style w:type="paragraph" w:styleId="20">
    <w:name w:val="toa heading"/>
    <w:basedOn w:val="0"/>
    <w:next w:val="0"/>
    <w:pPr>
      <w:spacing w:before="120"/>
    </w:pPr>
    <w:rPr>
      <w:rFonts w:ascii="Times New Roman" w:hAnsi="Times New Roman"/>
      <w:sz w:val="24"/>
      <w:szCs w:val="24"/>
    </w:rPr>
  </w:style>
  <w:style w:type="paragraph" w:styleId="21">
    <w:name w:val="List Bullet 5"/>
    <w:basedOn w:val="0"/>
    <w:pPr>
      <w:numPr>
        <w:ilvl w:val="0"/>
        <w:numId w:val="1"/>
      </w:numPr>
    </w:pPr>
  </w:style>
  <w:style w:type="paragraph" w:styleId="22">
    <w:name w:val="List Number 4"/>
    <w:basedOn w:val="0"/>
    <w:pPr>
      <w:numPr>
        <w:ilvl w:val="0"/>
        <w:numId w:val="2"/>
      </w:numPr>
    </w:pPr>
  </w:style>
  <w:style w:type="paragraph" w:styleId="23">
    <w:name w:val="Signature"/>
    <w:basedOn w:val="0"/>
    <w:pPr>
      <w:ind w:left="4320"/>
    </w:pPr>
  </w:style>
  <w:style w:type="paragraph" w:styleId="24">
    <w:name w:val="List Continue 2"/>
    <w:basedOn w:val="0"/>
    <w:pPr>
      <w:spacing w:after="120"/>
      <w:ind w:left="840"/>
    </w:pPr>
  </w:style>
  <w:style w:type="paragraph" w:styleId="25">
    <w:name w:val="List Continue 3"/>
    <w:basedOn w:val="0"/>
    <w:pPr>
      <w:spacing w:after="120"/>
      <w:ind w:left="1260"/>
    </w:pPr>
  </w:style>
  <w:style w:type="paragraph" w:styleId="26">
    <w:name w:val="Normal (Web)"/>
    <w:next w:val="15"/>
    <w:pPr>
      <w:widowControl w:val="0"/>
      <w:spacing w:beforeAutospacing="1" w:afterAutospacing="1"/>
    </w:pPr>
    <w:rPr>
      <w:rFonts w:ascii="Times New Roman" w:eastAsia="宋体" w:cs="Times New Roman" w:hAnsi="Times New Roman"/>
      <w:sz w:val="24"/>
      <w:szCs w:val="30"/>
      <w:lang w:val="en-US" w:eastAsia="zh-CN" w:bidi="ar-SA"/>
    </w:rPr>
  </w:style>
  <w:style w:type="paragraph" w:styleId="27">
    <w:name w:val="No Spacing"/>
    <w:pPr>
      <w:spacing w:line="240" w:lineRule="auto"/>
    </w:pPr>
    <w:rPr>
      <w:rFonts w:ascii="Times New Roman" w:eastAsia="宋体" w:cs="Lucida Sans" w:hAnsi="Times New Roman"/>
      <w:sz w:val="20"/>
      <w:szCs w:val="20"/>
      <w:lang w:val="en-US" w:eastAsia="zh-CN" w:bidi="ar-SA"/>
    </w:rPr>
  </w:style>
  <w:style w:type="paragraph" w:styleId="28">
    <w:name w:val="List Paragraph"/>
    <w:basedOn w:val="0"/>
    <w:pPr>
      <w:ind w:firstLineChars="200" w:firstLine="200"/>
    </w:pPr>
  </w:style>
  <w:style w:type="paragraph" w:styleId="29">
    <w:name w:val="Quote"/>
    <w:basedOn w:val="0"/>
    <w:next w:val="0"/>
    <w:pPr>
      <w:spacing w:before="200" w:after="160"/>
      <w:ind w:left="864" w:right="864"/>
      <w:jc w:val="center"/>
    </w:pPr>
    <w:rPr>
      <w:i/>
      <w:iCs/>
      <w:color w:val="404040"/>
    </w:rPr>
  </w:style>
  <w:style w:type="paragraph" w:styleId="30">
    <w:name w:val="Intense Quote"/>
    <w:basedOn w:val="0"/>
    <w:next w:val="0"/>
    <w:pPr>
      <w:pBdr>
        <w:top w:val="single" w:sz="4" w:space="1" w:color="5B9BD5"/>
        <w:bottom w:val="single" w:sz="4" w:space="1" w:color="5B9BD5"/>
      </w:pBdr>
      <w:spacing w:before="360" w:after="360"/>
      <w:ind w:left="864" w:right="864"/>
      <w:jc w:val="center"/>
    </w:pPr>
    <w:rPr>
      <w:i/>
      <w:iCs/>
      <w:color w:val="5B9BD5"/>
    </w:rPr>
  </w:style>
  <w:style w:type="character" w:styleId="31">
    <w:name w:val="Subtle Emphasis"/>
    <w:basedOn w:val="10"/>
    <w:rPr>
      <w:i/>
      <w:iCs/>
      <w:color w:val="404040"/>
    </w:rPr>
  </w:style>
  <w:style w:type="character" w:styleId="32">
    <w:name w:val="Intense Emphasis"/>
    <w:basedOn w:val="10"/>
    <w:rPr>
      <w:i/>
      <w:iCs/>
      <w:color w:val="5B9BD5"/>
    </w:rPr>
  </w:style>
  <w:style w:type="character" w:styleId="33">
    <w:name w:val="Subtle Reference"/>
    <w:basedOn w:val="10"/>
    <w:rPr>
      <w:caps w:val="0"/>
      <w:smallCaps/>
      <w:color w:val="404040"/>
    </w:rPr>
  </w:style>
  <w:style w:type="character" w:styleId="34">
    <w:name w:val="Intense Reference"/>
    <w:basedOn w:val="10"/>
    <w:rPr>
      <w:b/>
      <w:bCs/>
      <w:caps w:val="0"/>
      <w:smallCaps/>
      <w:color w:val="5B9BD5"/>
      <w:spacing w:val="5"/>
    </w:rPr>
  </w:style>
  <w:style w:type="character" w:styleId="35">
    <w:name w:val="Book Title"/>
    <w:basedOn w:val="10"/>
    <w:rPr>
      <w:b/>
      <w:bCs/>
      <w:i/>
      <w:iCs/>
      <w:spacing w:val="5"/>
    </w:rPr>
  </w:style>
  <w:style w:type="paragraph" w:customStyle="1" w:styleId="36">
    <w:name w:val="正文文字 1"/>
    <w:basedOn w:val="0"/>
    <w:autoRedefine/>
    <w:next w:val="0"/>
    <w:pPr>
      <w:ind w:left="240"/>
    </w:pPr>
    <w:rPr>
      <w:sz w:val="28"/>
      <w:szCs w:val="28"/>
    </w:rPr>
  </w:style>
  <w:style w:type="paragraph" w:customStyle="1" w:styleId="37">
    <w:name w:val="正文文字 8"/>
    <w:basedOn w:val="0"/>
    <w:autoRedefine/>
    <w:next w:val="0"/>
    <w:pPr>
      <w:ind w:left="240"/>
    </w:pPr>
    <w:rPr>
      <w:sz w:val="16"/>
      <w:szCs w:val="16"/>
    </w:rPr>
  </w:style>
  <w:style w:type="paragraph" w:customStyle="1" w:styleId="38">
    <w:name w:val="公式样式 文本"/>
    <w:autoRedefine/>
    <w:rPr>
      <w:rFonts w:ascii="Times New Roman" w:eastAsia="宋体" w:cs="Lucida Sans" w:hAnsi="Times New Roman"/>
      <w:b w:val="0"/>
      <w:i w:val="0"/>
      <w:sz w:val="20"/>
      <w:szCs w:val="20"/>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1">
    <w:name w:val="样式 3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4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3">
    <w:name w:val="样式 6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4">
    <w:name w:val="样式 4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5">
    <w:name w:val="样式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48">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49">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4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9">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1">
    <w:name w:val="样式 小五"/>
    <w:basedOn w:val="0"/>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62">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D0F42866-E867-4D65-89F1-2FDB066CA27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239</TotalTime>
  <Application>Yozo_Office27021597764231179</Application>
  <Pages>7</Pages>
  <Words>0</Words>
  <Characters>2073</Characters>
  <Lines>0</Lines>
  <Paragraphs>25</Paragraphs>
  <CharactersWithSpaces>2764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fanshouyuan</dc:creator>
  <cp:lastModifiedBy>fanshouyuan</cp:lastModifiedBy>
  <cp:revision>1</cp:revision>
  <dcterms:created xsi:type="dcterms:W3CDTF">2026-01-20T03:46:32Z</dcterms:created>
  <dcterms:modified xsi:type="dcterms:W3CDTF">2026-01-28T01:32:09Z</dcterms:modified>
</cp:coreProperties>
</file>