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0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盐城海关202</w:t>
      </w:r>
      <w:r>
        <w:rPr>
          <w:rFonts w:ascii="方正小标宋_GBK" w:eastAsia="方正小标宋_GBK" w:cs="方正小标宋_GBK"/>
          <w:sz w:val="44"/>
          <w:szCs w:val="44"/>
        </w:rPr>
        <w:t>5</w:t>
      </w:r>
      <w:r>
        <w:rPr>
          <w:rFonts w:ascii="方正小标宋_GBK" w:eastAsia="方正小标宋_GBK" w:cs="方正小标宋_GBK" w:hint="eastAsia"/>
          <w:sz w:val="44"/>
          <w:szCs w:val="44"/>
        </w:rPr>
        <w:t>年政府信息公开工作年度报告</w:t>
      </w:r>
      <w:bookmarkEnd w:id="0"/>
    </w:p>
    <w:p>
      <w:pPr>
        <w:pStyle w:val="2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</w:pPr>
    </w:p>
    <w:p>
      <w:pPr>
        <w:pStyle w:val="29"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56"/>
        <w:jc w:val="both"/>
        <w:rPr>
          <w:rFonts w:eastAsia="方正仿宋_GBK" w:hint="eastAsia"/>
          <w:spacing w:val="4"/>
          <w:kern w:val="2"/>
          <w:sz w:val="32"/>
          <w:szCs w:val="32"/>
        </w:rPr>
      </w:pPr>
      <w:r>
        <w:rPr>
          <w:rFonts w:eastAsia="方正仿宋_GBK" w:hint="eastAsia"/>
          <w:spacing w:val="4"/>
          <w:kern w:val="2"/>
          <w:sz w:val="32"/>
          <w:szCs w:val="32"/>
        </w:rPr>
        <w:t>本报告根据《中华人民共</w:t>
      </w:r>
      <w:bookmarkStart w:id="2" w:name="_GoBack"/>
      <w:bookmarkEnd w:id="2"/>
      <w:r>
        <w:rPr>
          <w:rFonts w:eastAsia="方正仿宋_GBK" w:hint="eastAsia"/>
          <w:spacing w:val="4"/>
          <w:kern w:val="2"/>
          <w:sz w:val="32"/>
          <w:szCs w:val="32"/>
        </w:rPr>
        <w:t>和国政府信息公开条例》（国务院令第711号）和《国务院办公厅政府信息与政务公开办公室关于印发〈中华人民共和国政府信息公开工作年度报告格式〉的通知》（国办公开办函〔2021〕30号）要求，梳理202</w:t>
      </w:r>
      <w:r>
        <w:rPr>
          <w:rFonts w:eastAsia="方正仿宋_GBK"/>
          <w:spacing w:val="4"/>
          <w:kern w:val="2"/>
          <w:sz w:val="32"/>
          <w:szCs w:val="32"/>
        </w:rPr>
        <w:t>5</w:t>
      </w:r>
      <w:r>
        <w:rPr>
          <w:rFonts w:eastAsia="方正仿宋_GBK" w:hint="eastAsia"/>
          <w:spacing w:val="4"/>
          <w:kern w:val="2"/>
          <w:sz w:val="32"/>
          <w:szCs w:val="32"/>
        </w:rPr>
        <w:t>年度盐城海关政府信息公开工作情况编制而成。年报中所列数据的统计期限，自202</w:t>
      </w:r>
      <w:r>
        <w:rPr>
          <w:rFonts w:eastAsia="方正仿宋_GBK"/>
          <w:spacing w:val="4"/>
          <w:kern w:val="2"/>
          <w:sz w:val="32"/>
          <w:szCs w:val="32"/>
        </w:rPr>
        <w:t>5</w:t>
      </w:r>
      <w:r>
        <w:rPr>
          <w:rFonts w:eastAsia="方正仿宋_GBK" w:hint="eastAsia"/>
          <w:spacing w:val="4"/>
          <w:kern w:val="2"/>
          <w:sz w:val="32"/>
          <w:szCs w:val="32"/>
        </w:rPr>
        <w:t>年1月1日起至202</w:t>
      </w:r>
      <w:r>
        <w:rPr>
          <w:rFonts w:eastAsia="方正仿宋_GBK"/>
          <w:spacing w:val="4"/>
          <w:kern w:val="2"/>
          <w:sz w:val="32"/>
          <w:szCs w:val="32"/>
        </w:rPr>
        <w:t>5</w:t>
      </w:r>
      <w:r>
        <w:rPr>
          <w:rFonts w:eastAsia="方正仿宋_GBK" w:hint="eastAsia"/>
          <w:spacing w:val="4"/>
          <w:kern w:val="2"/>
          <w:sz w:val="32"/>
          <w:szCs w:val="32"/>
        </w:rPr>
        <w:t>年12月31日止。如对报告有意见、建议，请联系盐城海关办公室（0515-68668822）；电子邮箱</w:t>
      </w:r>
      <w:r>
        <w:rPr>
          <w:rFonts w:eastAsia="方正仿宋_GBK"/>
          <w:spacing w:val="4"/>
          <w:kern w:val="2"/>
          <w:sz w:val="32"/>
          <w:szCs w:val="32"/>
        </w:rPr>
        <w:t>（njychg_zwgk@customs.gov.cn</w:t>
      </w:r>
      <w:r>
        <w:rPr>
          <w:rFonts w:eastAsia="方正仿宋_GBK" w:hint="eastAsia"/>
          <w:spacing w:val="4"/>
          <w:kern w:val="2"/>
          <w:sz w:val="32"/>
          <w:szCs w:val="32"/>
        </w:rPr>
        <w:t>）。</w:t>
      </w:r>
    </w:p>
    <w:p>
      <w:pPr>
        <w:pStyle w:val="29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>
      <w:pPr>
        <w:autoSpaceDN w:val="0"/>
        <w:adjustRightInd w:val="0"/>
        <w:snapToGrid w:val="0"/>
        <w:spacing w:line="560" w:lineRule="exact"/>
        <w:ind w:firstLineChars="200" w:firstLine="656"/>
        <w:rPr>
          <w:rFonts w:ascii="方正仿宋_GBK" w:hint="eastAsia"/>
          <w:color w:val="000000"/>
          <w:spacing w:val="4"/>
          <w:szCs w:val="32"/>
        </w:rPr>
      </w:pPr>
      <w:r>
        <w:rPr>
          <w:spacing w:val="4"/>
          <w:szCs w:val="32"/>
        </w:rPr>
        <w:t>2025</w:t>
      </w:r>
      <w:r>
        <w:rPr>
          <w:rFonts w:hint="eastAsia"/>
          <w:spacing w:val="4"/>
          <w:szCs w:val="32"/>
        </w:rPr>
        <w:t>年</w:t>
      </w:r>
      <w:r>
        <w:rPr>
          <w:rFonts w:ascii="方正仿宋_GBK" w:hint="eastAsia"/>
          <w:spacing w:val="4"/>
          <w:szCs w:val="32"/>
        </w:rPr>
        <w:t>，盐城海关</w:t>
      </w:r>
      <w:r>
        <w:rPr>
          <w:rFonts w:ascii="方正仿宋_GBK"/>
          <w:color w:val="000000"/>
          <w:spacing w:val="4"/>
          <w:szCs w:val="32"/>
        </w:rPr>
        <w:t>认真</w:t>
      </w:r>
      <w:r>
        <w:rPr>
          <w:rFonts w:ascii="方正仿宋_GBK" w:hint="eastAsia"/>
          <w:color w:val="000000"/>
          <w:spacing w:val="4"/>
          <w:szCs w:val="32"/>
        </w:rPr>
        <w:t>贯彻</w:t>
      </w:r>
      <w:r>
        <w:rPr>
          <w:rFonts w:ascii="方正仿宋_GBK"/>
          <w:color w:val="000000"/>
          <w:spacing w:val="4"/>
          <w:szCs w:val="32"/>
        </w:rPr>
        <w:t>落实党的二十届四中全会精神，牢记</w:t>
      </w:r>
      <w:r>
        <w:rPr>
          <w:rFonts w:ascii="方正仿宋_GBK" w:hint="eastAsia"/>
          <w:color w:val="000000"/>
          <w:spacing w:val="4"/>
          <w:szCs w:val="32"/>
        </w:rPr>
        <w:t>习近平总书记给红其拉甫海关全体关员重要回信</w:t>
      </w:r>
      <w:r>
        <w:rPr>
          <w:rFonts w:ascii="方正仿宋_GBK"/>
          <w:color w:val="000000"/>
          <w:spacing w:val="4"/>
          <w:szCs w:val="32"/>
        </w:rPr>
        <w:t>精神</w:t>
      </w:r>
      <w:r>
        <w:rPr>
          <w:rFonts w:ascii="方正仿宋_GBK" w:hint="eastAsia"/>
          <w:color w:val="000000"/>
          <w:spacing w:val="4"/>
          <w:szCs w:val="32"/>
        </w:rPr>
        <w:t>，</w:t>
      </w:r>
      <w:r>
        <w:rPr>
          <w:rFonts w:ascii="方正仿宋_GBK"/>
          <w:color w:val="000000"/>
          <w:spacing w:val="4"/>
          <w:szCs w:val="32"/>
        </w:rPr>
        <w:t>根据</w:t>
      </w:r>
      <w:r>
        <w:rPr>
          <w:rFonts w:ascii="方正仿宋_GBK" w:hint="eastAsia"/>
          <w:color w:val="000000"/>
          <w:spacing w:val="4"/>
          <w:szCs w:val="32"/>
        </w:rPr>
        <w:t>《中华人民共和国政府信息公开条例》《海关总署政府信息公开工作规程》相关规定，</w:t>
      </w:r>
      <w:r>
        <w:rPr>
          <w:rFonts w:ascii="方正仿宋_GBK"/>
          <w:color w:val="000000"/>
          <w:spacing w:val="4"/>
          <w:szCs w:val="32"/>
        </w:rPr>
        <w:t>按照海关总署、南京海关政务公开要求，进一步加强组织领导，</w:t>
      </w:r>
      <w:r>
        <w:rPr>
          <w:rFonts w:ascii="方正仿宋_GBK" w:hint="eastAsia"/>
          <w:color w:val="000000"/>
          <w:spacing w:val="4"/>
          <w:szCs w:val="32"/>
        </w:rPr>
        <w:t>扎实开展各项工作，聚焦便民利民，</w:t>
      </w:r>
      <w:r>
        <w:rPr>
          <w:rFonts w:ascii="方正仿宋_GBK"/>
          <w:color w:val="000000"/>
          <w:spacing w:val="4"/>
          <w:szCs w:val="32"/>
        </w:rPr>
        <w:t>充分发挥政务公开在建设法治型海关、服务型海关方面的促进作用</w:t>
      </w:r>
      <w:r>
        <w:rPr>
          <w:rFonts w:ascii="方正仿宋_GBK" w:hint="eastAsia"/>
          <w:color w:val="000000"/>
          <w:spacing w:val="4"/>
          <w:szCs w:val="32"/>
        </w:rPr>
        <w:t>，不断增强政府信息公开透明度，持续做好政府信息公开工作。</w:t>
      </w:r>
    </w:p>
    <w:p>
      <w:pPr>
        <w:autoSpaceDN w:val="0"/>
        <w:adjustRightInd w:val="0"/>
        <w:snapToGrid w:val="0"/>
        <w:spacing w:line="560" w:lineRule="exact"/>
        <w:ind w:firstLineChars="200" w:firstLine="640"/>
        <w:rPr>
          <w:szCs w:val="32"/>
        </w:rPr>
      </w:pPr>
      <w:r>
        <w:rPr>
          <w:rFonts w:ascii="方正楷体_GBK" w:eastAsia="方正楷体_GBK" w:hint="eastAsia"/>
          <w:szCs w:val="32"/>
        </w:rPr>
        <w:t>（一）深化主动公开，打造“阳光海关”新格局。</w:t>
      </w:r>
      <w:r>
        <w:rPr>
          <w:rFonts w:hint="eastAsia"/>
          <w:szCs w:val="32"/>
        </w:rPr>
        <w:t>本年度，盐城海关坚持以公开为常态、不公开为例外，持续拓展公开的广度与深度</w:t>
      </w:r>
      <w:r>
        <w:rPr>
          <w:szCs w:val="32"/>
        </w:rPr>
        <w:t>，</w:t>
      </w:r>
      <w:r>
        <w:rPr>
          <w:rFonts w:hint="eastAsia"/>
          <w:szCs w:val="32"/>
        </w:rPr>
        <w:t>通过南京海关门户网站主动公开“关长接待日”、涉案财物拍卖、行政处罚决定书等信息，保障公民知情权。推动执法结果规范公开</w:t>
      </w:r>
      <w:r>
        <w:rPr>
          <w:szCs w:val="32"/>
        </w:rPr>
        <w:t>，</w:t>
      </w:r>
      <w:r>
        <w:rPr>
          <w:rFonts w:hint="eastAsia"/>
          <w:szCs w:val="32"/>
        </w:rPr>
        <w:t>严格执行“双随机、一公开”监管要求，按时在海关门户网站公示进出境船舶物料检查、监管场所抽查、国境口岸卫生监督等执法结果，保障行政权力的透明运行。</w:t>
      </w:r>
    </w:p>
    <w:p>
      <w:pPr>
        <w:autoSpaceDN w:val="0"/>
        <w:adjustRightInd w:val="0"/>
        <w:snapToGrid w:val="0"/>
        <w:spacing w:line="560" w:lineRule="exact"/>
        <w:ind w:firstLineChars="200" w:firstLine="640"/>
        <w:rPr>
          <w:rFonts w:hint="eastAsia"/>
          <w:szCs w:val="32"/>
        </w:rPr>
      </w:pPr>
      <w:r>
        <w:rPr>
          <w:rFonts w:ascii="方正楷体_GBK" w:eastAsia="方正楷体_GBK" w:hint="eastAsia"/>
          <w:szCs w:val="32"/>
        </w:rPr>
        <w:t>（二）提升咨询效能，构建“精准服务”新机制。</w:t>
      </w:r>
      <w:r>
        <w:rPr>
          <w:rFonts w:hint="eastAsia"/>
          <w:szCs w:val="32"/>
        </w:rPr>
        <w:t>为切实解决企业急难愁盼，盐城海关着力提升政策咨询与互动的精准性与便捷性。一方面，建立线上线下立体咨询网络。在高效办理12345热线工单、接听咨询电话的基础上，开展“关长送政策上门”、企业协调员“一对一”辅导等定向服务，全年培育和服务9家AEO高级认证企业，为重点产业链提供全链条支持。另一方面，拓展前瞻性互动调研渠道。主动发起“两步申报”改革优化新模式政策效果等专题问卷调查，精准收集企业诉求与政策反馈，将调研结果作为优化监管服务的重要依据，形成“公开-反馈-优化”的管理闭环。</w:t>
      </w:r>
    </w:p>
    <w:p>
      <w:pPr>
        <w:pStyle w:val="48"/>
        <w:autoSpaceDN w:val="0"/>
        <w:adjustRightInd w:val="0"/>
        <w:snapToGrid w:val="0"/>
        <w:spacing w:line="560" w:lineRule="exact"/>
        <w:ind w:firstLineChars="200" w:firstLine="640"/>
        <w:rPr>
          <w:rFonts w:hint="eastAsia"/>
          <w:szCs w:val="32"/>
        </w:rPr>
      </w:pPr>
      <w:r>
        <w:rPr>
          <w:rFonts w:ascii="方正楷体_GBK" w:eastAsia="方正楷体_GBK" w:hint="eastAsia"/>
          <w:szCs w:val="32"/>
        </w:rPr>
        <w:t>（三）发挥公开作用，激发“赋能发展”新动能。</w:t>
      </w:r>
      <w:r>
        <w:rPr>
          <w:rFonts w:hint="eastAsia"/>
          <w:szCs w:val="32"/>
        </w:rPr>
        <w:t>盐城海关将政务公开深度融入业务实践，使其成为优化营商环境、释放改革红利的抓手。聚焦改革进程即时公开</w:t>
      </w:r>
      <w:r>
        <w:rPr>
          <w:szCs w:val="32"/>
        </w:rPr>
        <w:t>，</w:t>
      </w:r>
      <w:r>
        <w:rPr>
          <w:rFonts w:hint="eastAsia"/>
          <w:szCs w:val="32"/>
        </w:rPr>
        <w:t>作为全国跨境贸易便利化专项行动试点</w:t>
      </w:r>
      <w:r>
        <w:rPr>
          <w:szCs w:val="32"/>
        </w:rPr>
        <w:t>城市</w:t>
      </w:r>
      <w:r>
        <w:rPr>
          <w:rFonts w:hint="eastAsia"/>
          <w:szCs w:val="32"/>
        </w:rPr>
        <w:t>，我关通过政府网站、新闻媒体等平台，及时向社会通报“空侧直通”“嵌入式监管”等创新模式的实施进展与成效。依托新闻宣传解读公开</w:t>
      </w:r>
      <w:r>
        <w:rPr>
          <w:szCs w:val="32"/>
        </w:rPr>
        <w:t>，</w:t>
      </w:r>
      <w:r>
        <w:rPr>
          <w:rFonts w:hint="eastAsia"/>
          <w:szCs w:val="32"/>
        </w:rPr>
        <w:t>围绕“两步申报”改革优化试点首票业务落地等惠企政策，组织专题报道和深入解读，将专业的政策语言转化为企业易懂的“白话”，全年在</w:t>
      </w:r>
      <w:r>
        <w:rPr>
          <w:szCs w:val="32"/>
        </w:rPr>
        <w:t>新华日报、经济日报等</w:t>
      </w:r>
      <w:r>
        <w:rPr>
          <w:rFonts w:hint="eastAsia"/>
          <w:szCs w:val="32"/>
        </w:rPr>
        <w:t>主流媒体发布多篇报道，有效扩大了政策知晓面。</w:t>
      </w:r>
    </w:p>
    <w:p>
      <w:pPr>
        <w:pStyle w:val="31"/>
        <w:adjustRightInd w:val="0"/>
        <w:snapToGrid w:val="0"/>
        <w:spacing w:beforeLines="50" w:before="218" w:afterLines="50" w:after="218"/>
        <w:ind w:firstLineChars="200" w:firstLine="640"/>
        <w:rPr>
          <w:rFonts w:ascii="方正黑体_GBK" w:eastAsia="方正黑体_GBK" w:cs="楷体_GB2312" w:hint="eastAsia"/>
          <w:bCs/>
          <w:spacing w:val="0"/>
          <w:kern w:val="0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pacing w:val="0"/>
          <w:kern w:val="0"/>
          <w:szCs w:val="32"/>
          <w:shd w:val="clear" w:color="auto" w:fill="FFFFFF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3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4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62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6"/>
              <w:jc w:val="center"/>
              <w:rPr>
                <w:rFonts w:eastAsia="方正仿宋_GBK" w:cs="宋体" w:hint="eastAsia"/>
                <w:sz w:val="24"/>
                <w:szCs w:val="24"/>
              </w:rPr>
            </w:pPr>
            <w:r>
              <w:rPr>
                <w:rFonts w:eastAsia="方正仿宋_GBK" w:cs="宋体"/>
                <w:sz w:val="24"/>
                <w:szCs w:val="24"/>
              </w:rPr>
              <w:t>1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7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cs="宋体" w:hint="eastAsia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>
      <w:pPr>
        <w:pStyle w:val="25"/>
        <w:tabs>
          <w:tab w:val="center" w:pos="4153"/>
          <w:tab w:val="right" w:pos="8306"/>
        </w:tabs>
      </w:pPr>
    </w:p>
    <w:p>
      <w:pPr>
        <w:pStyle w:val="29"/>
        <w:widowControl/>
        <w:shd w:val="clear" w:color="auto" w:fill="FFFFFF"/>
        <w:adjustRightInd w:val="0"/>
        <w:snapToGrid w:val="0"/>
        <w:spacing w:beforeAutospacing="0" w:afterLines="50" w:after="218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p>
      <w:pPr>
        <w:pStyle w:val="25"/>
        <w:tabs>
          <w:tab w:val="center" w:pos="4153"/>
          <w:tab w:val="right" w:pos="8306"/>
        </w:tabs>
      </w:pP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2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32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2"/>
              <w:widowControl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2"/>
              <w:widowControl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2"/>
              <w:widowControl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</w:tcPr>
          <w:p>
            <w:pPr>
              <w:pStyle w:val="32"/>
              <w:widowControl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jc w:val="center"/>
              <w:rPr>
                <w:rFonts w:eastAsia="方正仿宋_GBK" w:hint="eastAsia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>
      <w:pPr>
        <w:pStyle w:val="29"/>
        <w:widowControl/>
        <w:shd w:val="clear" w:color="auto" w:fill="FFFFFF"/>
        <w:spacing w:beforeLines="50" w:before="218" w:beforeAutospacing="0" w:after="12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p>
      <w:pPr>
        <w:pStyle w:val="25"/>
        <w:tabs>
          <w:tab w:val="center" w:pos="4153"/>
          <w:tab w:val="right" w:pos="8306"/>
        </w:tabs>
      </w:pP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2"/>
              <w:widowControl/>
              <w:jc w:val="center"/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9"/>
        <w:widowControl/>
        <w:shd w:val="clear" w:color="auto" w:fill="FFFFFF"/>
        <w:spacing w:beforeLines="50" w:before="218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pStyle w:val="38"/>
        <w:adjustRightInd w:val="0"/>
        <w:snapToGrid w:val="0"/>
        <w:ind w:firstLineChars="200" w:firstLine="624"/>
        <w:rPr>
          <w:rFonts w:ascii="方正楷体_GBK" w:eastAsia="方正楷体_GBK"/>
        </w:rPr>
      </w:pPr>
      <w:r>
        <w:rPr>
          <w:rFonts w:ascii="方正楷体_GBK" w:eastAsia="方正楷体_GBK" w:hint="eastAsia"/>
        </w:rPr>
        <w:t>（一）</w:t>
      </w:r>
      <w:r>
        <w:rPr>
          <w:rFonts w:eastAsia="方正楷体_GBK"/>
        </w:rPr>
        <w:t>2024</w:t>
      </w:r>
      <w:r>
        <w:rPr>
          <w:rFonts w:ascii="方正楷体_GBK" w:eastAsia="方正楷体_GBK" w:hint="eastAsia"/>
        </w:rPr>
        <w:t>年年报中所提问题整改情况。</w:t>
      </w:r>
      <w:r>
        <w:rPr>
          <w:rFonts w:hint="eastAsia"/>
          <w:spacing w:val="0"/>
          <w:szCs w:val="32"/>
        </w:rPr>
        <w:t>针对上一年度我关在</w:t>
      </w:r>
      <w:r>
        <w:rPr>
          <w:rFonts w:hint="eastAsia"/>
        </w:rPr>
        <w:t>政策解读覆盖面方面存在</w:t>
      </w:r>
      <w:r>
        <w:t>的</w:t>
      </w:r>
      <w:r>
        <w:rPr>
          <w:rFonts w:hint="eastAsia"/>
        </w:rPr>
        <w:t>不足</w:t>
      </w:r>
      <w:r>
        <w:rPr>
          <w:rFonts w:hint="eastAsia"/>
          <w:spacing w:val="0"/>
          <w:szCs w:val="32"/>
        </w:rPr>
        <w:t>，</w:t>
      </w:r>
      <w:r>
        <w:rPr>
          <w:spacing w:val="0"/>
          <w:szCs w:val="32"/>
        </w:rPr>
        <w:t>今年我关多措并举不断提高政策解读覆盖面和精准度，通过</w:t>
      </w:r>
      <w:r>
        <w:rPr>
          <w:rFonts w:hint="eastAsia"/>
          <w:spacing w:val="0"/>
          <w:szCs w:val="32"/>
        </w:rPr>
        <w:t>“关长送政策上门”“关</w:t>
      </w:r>
      <w:r>
        <w:rPr>
          <w:spacing w:val="0"/>
          <w:szCs w:val="32"/>
        </w:rPr>
        <w:t>企面对面</w:t>
      </w:r>
      <w:r>
        <w:rPr>
          <w:rFonts w:hint="eastAsia"/>
          <w:spacing w:val="0"/>
          <w:szCs w:val="32"/>
        </w:rPr>
        <w:t>”</w:t>
      </w:r>
      <w:r>
        <w:rPr>
          <w:spacing w:val="0"/>
          <w:szCs w:val="32"/>
        </w:rPr>
        <w:t>等方式走进企业，联合区县政府组织政策宣讲会，为企业送去</w:t>
      </w:r>
      <w:r>
        <w:rPr>
          <w:rFonts w:hint="eastAsia"/>
          <w:spacing w:val="0"/>
          <w:szCs w:val="32"/>
        </w:rPr>
        <w:t>最新政策法规及各类</w:t>
      </w:r>
      <w:r>
        <w:rPr>
          <w:spacing w:val="0"/>
          <w:szCs w:val="32"/>
        </w:rPr>
        <w:t>政策</w:t>
      </w:r>
      <w:r>
        <w:rPr>
          <w:rFonts w:hint="eastAsia"/>
          <w:spacing w:val="0"/>
          <w:szCs w:val="32"/>
        </w:rPr>
        <w:t>解读</w:t>
      </w:r>
      <w:r>
        <w:rPr>
          <w:spacing w:val="0"/>
          <w:szCs w:val="32"/>
        </w:rPr>
        <w:t>。</w:t>
      </w:r>
    </w:p>
    <w:p>
      <w:pPr>
        <w:pStyle w:val="39"/>
        <w:adjustRightInd w:val="0"/>
        <w:snapToGrid w:val="0"/>
        <w:ind w:firstLineChars="200" w:firstLine="624"/>
      </w:pPr>
      <w:r>
        <w:rPr>
          <w:rFonts w:ascii="方正楷体_GBK" w:eastAsia="方正楷体_GBK" w:hint="eastAsia"/>
        </w:rPr>
        <w:t>（二）目前存在问题。</w:t>
      </w:r>
      <w:r>
        <w:rPr>
          <w:rFonts w:hint="eastAsia"/>
        </w:rPr>
        <w:t>我关目前在</w:t>
      </w:r>
      <w:r>
        <w:t>政务公开协同性上存在不足，存在各业务现场更新内容不及时的现象。</w:t>
      </w:r>
    </w:p>
    <w:p>
      <w:pPr>
        <w:pStyle w:val="29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>
      <w:pPr>
        <w:pStyle w:val="40"/>
        <w:adjustRightInd w:val="0"/>
        <w:snapToGrid w:val="0"/>
        <w:ind w:firstLineChars="200" w:firstLine="624"/>
        <w:rPr>
          <w:rFonts w:hint="eastAsia"/>
        </w:rPr>
      </w:pPr>
      <w:r>
        <w:t>盐城海关2025年无收取信息处理费情况。</w:t>
      </w:r>
    </w:p>
    <w:p>
      <w:pPr>
        <w:pStyle w:val="25"/>
        <w:tabs>
          <w:tab w:val="center" w:pos="4153"/>
          <w:tab w:val="right" w:pos="8306"/>
        </w:tabs>
      </w:pPr>
    </w:p>
    <w:p>
      <w:pPr>
        <w:pStyle w:val="25"/>
        <w:tabs>
          <w:tab w:val="center" w:pos="4153"/>
          <w:tab w:val="right" w:pos="8306"/>
        </w:tabs>
      </w:pPr>
    </w:p>
    <w:p/>
    <w:p>
      <w:pPr>
        <w:jc w:val="left"/>
      </w:pPr>
    </w:p>
    <w:sectPr>
      <w:footerReference w:type="first" r:id="rId2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3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3AFF" w:usb1="C0007843" w:usb2="00000009" w:usb3="00000000" w:csb0="000001F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41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41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76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toc 2"/>
    <w:basedOn w:val="0"/>
    <w:autoRedefine/>
    <w:next w:val="0"/>
    <w:pPr>
      <w:ind w:left="420"/>
    </w:pPr>
  </w:style>
  <w:style w:type="paragraph" w:styleId="17">
    <w:name w:val="toc 3"/>
    <w:basedOn w:val="0"/>
    <w:autoRedefine/>
    <w:next w:val="0"/>
    <w:pPr>
      <w:ind w:left="840"/>
    </w:pPr>
  </w:style>
  <w:style w:type="paragraph" w:styleId="18">
    <w:name w:val="toc 4"/>
    <w:basedOn w:val="0"/>
    <w:autoRedefine/>
    <w:next w:val="0"/>
    <w:pPr>
      <w:ind w:left="1260"/>
    </w:pPr>
  </w:style>
  <w:style w:type="paragraph" w:styleId="19">
    <w:name w:val="toc 6"/>
    <w:basedOn w:val="0"/>
    <w:autoRedefine/>
    <w:next w:val="0"/>
    <w:pPr>
      <w:ind w:left="2100"/>
    </w:pPr>
  </w:style>
  <w:style w:type="paragraph" w:styleId="20">
    <w:name w:val="toc 7"/>
    <w:basedOn w:val="0"/>
    <w:autoRedefine/>
    <w:next w:val="0"/>
    <w:pPr>
      <w:ind w:left="2520"/>
    </w:pPr>
  </w:style>
  <w:style w:type="paragraph" w:styleId="21">
    <w:name w:val="toc 8"/>
    <w:basedOn w:val="0"/>
    <w:autoRedefine/>
    <w:next w:val="0"/>
    <w:pPr>
      <w:ind w:left="2940"/>
    </w:pPr>
  </w:style>
  <w:style w:type="paragraph" w:styleId="22">
    <w:name w:val="toc 9"/>
    <w:basedOn w:val="0"/>
    <w:autoRedefine/>
    <w:next w:val="0"/>
    <w:pPr>
      <w:ind w:left="3360"/>
    </w:pPr>
  </w:style>
  <w:style w:type="paragraph" w:styleId="23">
    <w:name w:val="Normal Indent"/>
    <w:basedOn w:val="0"/>
    <w:pPr>
      <w:ind w:firstLine="420"/>
    </w:pPr>
  </w:style>
  <w:style w:type="paragraph" w:styleId="24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5">
    <w:name w:val="footer"/>
    <w:next w:val="15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character" w:styleId="26">
    <w:name w:val="page number"/>
    <w:basedOn w:val="10"/>
  </w:style>
  <w:style w:type="character" w:styleId="27">
    <w:name w:val="endnote reference"/>
    <w:basedOn w:val="10"/>
    <w:rPr>
      <w:vertAlign w:val="superscript"/>
    </w:rPr>
  </w:style>
  <w:style w:type="paragraph" w:styleId="28">
    <w:name w:val="endnote text"/>
    <w:basedOn w:val="0"/>
    <w:pPr>
      <w:snapToGrid w:val="0"/>
      <w:jc w:val="left"/>
    </w:pPr>
  </w:style>
  <w:style w:type="paragraph" w:styleId="29">
    <w:name w:val="Normal (Web)"/>
    <w:next w:val="15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0">
    <w:name w:val="样式 6 三号"/>
    <w:next w:val="16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1">
    <w:name w:val="样式 50 三号"/>
    <w:next w:val="2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2">
    <w:name w:val="样式 小三"/>
    <w:next w:val="26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3">
    <w:name w:val="样式 5 小三"/>
    <w:next w:val="19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4">
    <w:name w:val="样式 16 小三"/>
    <w:next w:val="22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5">
    <w:name w:val="样式 8 小三"/>
    <w:next w:val="20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6">
    <w:name w:val="样式 17 小三"/>
    <w:next w:val="23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7">
    <w:name w:val="样式 12 小三"/>
    <w:next w:val="21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">
    <w:name w:val="样式 8 三号"/>
    <w:next w:val="18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9">
    <w:name w:val="样式 13 三号"/>
    <w:next w:val="28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0">
    <w:name w:val="样式 7 三号"/>
    <w:next w:val="1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1">
    <w:name w:val="样式 小五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42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3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4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5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6">
    <w:name w:val="样式 4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7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8">
    <w:name w:val="样式 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9">
    <w:name w:val="样式 1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50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51">
    <w:name w:val="annotation text"/>
    <w:basedOn w:val="0"/>
    <w:pPr>
      <w:jc w:val="left"/>
    </w:pPr>
  </w:style>
  <w:style w:type="character" w:styleId="52">
    <w:name w:val="footnote reference"/>
    <w:basedOn w:val="10"/>
    <w:rPr>
      <w:vertAlign w:val="superscript"/>
    </w:rPr>
  </w:style>
  <w:style w:type="paragraph" w:styleId="53">
    <w:name w:val="annotation subject"/>
    <w:basedOn w:val="51"/>
    <w:next w:val="51"/>
    <w:rPr>
      <w:b/>
    </w:rPr>
  </w:style>
  <w:style w:type="paragraph" w:styleId="54">
    <w:name w:val="toc 1"/>
    <w:basedOn w:val="0"/>
    <w:autoRedefine/>
    <w:next w:val="0"/>
  </w:style>
  <w:style w:type="paragraph" w:styleId="55">
    <w:name w:val="caption"/>
    <w:basedOn w:val="0"/>
    <w:next w:val="0"/>
    <w:rPr>
      <w:rFonts w:ascii="Arial" w:eastAsia="黑体" w:hAnsi="Arial"/>
      <w:b/>
      <w:sz w:val="20"/>
    </w:rPr>
  </w:style>
  <w:style w:type="paragraph" w:customStyle="1" w:styleId="56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993</TotalTime>
  <Application>Yozo_Office</Application>
  <Pages>6</Pages>
  <Words>2218</Words>
  <Characters>2311</Characters>
  <Lines>425</Lines>
  <Paragraphs>302</Paragraphs>
  <CharactersWithSpaces>2311</CharactersWithSpaces>
  <Company>zhengzhou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胡晓华</dc:creator>
  <cp:lastModifiedBy>胡晓华</cp:lastModifiedBy>
  <cp:revision>1</cp:revision>
  <dcterms:created xsi:type="dcterms:W3CDTF">2026-01-13T07:38:05Z</dcterms:created>
  <dcterms:modified xsi:type="dcterms:W3CDTF">2026-01-28T06:35:12Z</dcterms:modified>
</cp:coreProperties>
</file>