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emf" ContentType="image/emf"/>
  <Default Extension="png" ContentType="image/pn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jc w:val="center"/>
        <w:rPr>
          <w:rFonts w:ascii="方正小标宋_GBK" w:eastAsia="方正小标宋_GBK"/>
          <w:sz w:val="44"/>
          <w:szCs w:val="44"/>
        </w:rPr>
      </w:pPr>
    </w:p>
    <w:p>
      <w:pPr>
        <w:jc w:val="center"/>
        <w:rPr>
          <w:rFonts w:ascii="方正小标宋_GBK" w:eastAsia="方正小标宋_GBK"/>
          <w:sz w:val="44"/>
          <w:szCs w:val="44"/>
        </w:rPr>
      </w:pPr>
    </w:p>
    <w:p>
      <w:pPr>
        <w:jc w:val="center"/>
        <w:rPr>
          <w:rFonts w:ascii="方正小标宋_GBK" w:eastAsia="方正小标宋_GBK"/>
          <w:sz w:val="44"/>
          <w:szCs w:val="44"/>
        </w:rPr>
      </w:pPr>
    </w:p>
    <w:p>
      <w:pPr>
        <w:jc w:val="center"/>
        <w:rPr>
          <w:rFonts w:ascii="方正小标宋_GBK" w:eastAsia="方正小标宋_GBK"/>
          <w:sz w:val="44"/>
          <w:szCs w:val="44"/>
        </w:rPr>
      </w:pPr>
    </w:p>
    <w:p>
      <w:pPr>
        <w:jc w:val="center"/>
        <w:rPr>
          <w:rFonts w:ascii="方正小标宋_GBK" w:eastAsia="方正小标宋_GBK"/>
          <w:sz w:val="44"/>
          <w:szCs w:val="44"/>
        </w:rPr>
      </w:pPr>
    </w:p>
    <w:p>
      <w:pPr>
        <w:jc w:val="center"/>
        <w:rPr>
          <w:rFonts w:ascii="方正小标宋_GBK" w:eastAsia="方正小标宋_GBK"/>
          <w:sz w:val="52"/>
          <w:szCs w:val="52"/>
        </w:rPr>
      </w:pPr>
      <w:r>
        <w:rPr>
          <w:rFonts w:ascii="方正小标宋_GBK" w:eastAsia="方正小标宋_GBK" w:hint="eastAsia"/>
          <w:sz w:val="52"/>
          <w:szCs w:val="52"/>
        </w:rPr>
        <w:t>2026年度</w:t>
      </w:r>
      <w:r>
        <w:rPr>
          <w:rFonts w:ascii="方正小标宋_GBK" w:eastAsia="方正小标宋_GBK"/>
          <w:sz w:val="52"/>
          <w:szCs w:val="52"/>
        </w:rPr>
        <w:t>徐州海关本级</w:t>
      </w:r>
      <w:r>
        <w:rPr>
          <w:rFonts w:ascii="方正小标宋_GBK" w:eastAsia="方正小标宋_GBK" w:hint="eastAsia"/>
          <w:sz w:val="52"/>
          <w:szCs w:val="52"/>
        </w:rPr>
        <w:t>预算公开</w:t>
      </w:r>
    </w:p>
    <w:p>
      <w:pPr>
        <w:jc w:val="center"/>
        <w:rPr>
          <w:rFonts w:ascii="Times New Roman" w:cs="Times New Roman" w:hAnsi="Times New Roman"/>
          <w:sz w:val="48"/>
          <w:szCs w:val="48"/>
        </w:rPr>
      </w:pPr>
    </w:p>
    <w:p>
      <w:pPr>
        <w:jc w:val="center"/>
        <w:rPr>
          <w:rFonts w:ascii="Times New Roman" w:cs="Times New Roman" w:hAnsi="Times New Roman"/>
          <w:sz w:val="48"/>
          <w:szCs w:val="48"/>
        </w:rPr>
      </w:pPr>
    </w:p>
    <w:p>
      <w:pPr>
        <w:jc w:val="center"/>
        <w:rPr>
          <w:rFonts w:ascii="Times New Roman" w:cs="Times New Roman" w:hAnsi="Times New Roman"/>
          <w:sz w:val="48"/>
          <w:szCs w:val="48"/>
        </w:rPr>
      </w:pPr>
    </w:p>
    <w:p>
      <w:pPr>
        <w:jc w:val="center"/>
        <w:rPr>
          <w:rFonts w:ascii="Times New Roman" w:cs="Times New Roman" w:hAnsi="Times New Roman"/>
          <w:sz w:val="48"/>
          <w:szCs w:val="48"/>
        </w:rPr>
      </w:pPr>
    </w:p>
    <w:p>
      <w:pPr>
        <w:jc w:val="center"/>
        <w:rPr>
          <w:rFonts w:ascii="Times New Roman" w:cs="Times New Roman" w:hAnsi="Times New Roman"/>
          <w:sz w:val="48"/>
          <w:szCs w:val="48"/>
        </w:rPr>
      </w:pPr>
    </w:p>
    <w:p>
      <w:pPr>
        <w:jc w:val="center"/>
        <w:rPr>
          <w:rFonts w:ascii="Times New Roman" w:cs="Times New Roman" w:hAnsi="Times New Roman"/>
          <w:sz w:val="48"/>
          <w:szCs w:val="48"/>
        </w:rPr>
      </w:pPr>
    </w:p>
    <w:p>
      <w:pPr>
        <w:jc w:val="center"/>
        <w:rPr>
          <w:rFonts w:ascii="Times New Roman" w:cs="Times New Roman" w:hAnsi="Times New Roman"/>
          <w:sz w:val="48"/>
          <w:szCs w:val="48"/>
        </w:rPr>
      </w:pPr>
    </w:p>
    <w:p>
      <w:pPr>
        <w:jc w:val="center"/>
        <w:rPr>
          <w:rFonts w:ascii="Times New Roman" w:cs="Times New Roman" w:hAnsi="Times New Roman"/>
          <w:sz w:val="48"/>
          <w:szCs w:val="48"/>
        </w:rPr>
      </w:pPr>
    </w:p>
    <w:p>
      <w:pPr>
        <w:jc w:val="center"/>
        <w:rPr>
          <w:rFonts w:ascii="Times New Roman" w:cs="Times New Roman" w:hAnsi="Times New Roman"/>
          <w:sz w:val="48"/>
          <w:szCs w:val="48"/>
        </w:rPr>
      </w:pPr>
      <w:r>
        <w:rPr>
          <w:rFonts w:ascii="Times New Roman" w:cs="Times New Roman" w:hAnsi="Times New Roman"/>
          <w:sz w:val="48"/>
          <w:szCs w:val="48"/>
        </w:rPr>
        <w:t xml:space="preserve">       </w:t>
      </w:r>
    </w:p>
    <w:p>
      <w:pPr>
        <w:jc w:val="center"/>
        <w:rPr>
          <w:rFonts w:ascii="Times New Roman" w:cs="Times New Roman" w:hAnsi="Times New Roman"/>
          <w:sz w:val="48"/>
          <w:szCs w:val="48"/>
        </w:rPr>
      </w:pPr>
    </w:p>
    <w:p>
      <w:pPr>
        <w:jc w:val="center"/>
        <w:rPr>
          <w:rFonts w:ascii="Times New Roman" w:cs="Times New Roman" w:hAnsi="Times New Roman"/>
          <w:sz w:val="48"/>
          <w:szCs w:val="48"/>
        </w:rPr>
      </w:pPr>
    </w:p>
    <w:p>
      <w:pPr>
        <w:jc w:val="center"/>
        <w:rPr>
          <w:rFonts w:ascii="Times New Roman" w:cs="Times New Roman" w:hAnsi="Times New Roman"/>
          <w:sz w:val="48"/>
          <w:szCs w:val="48"/>
        </w:rPr>
      </w:pPr>
    </w:p>
    <w:p>
      <w:pPr>
        <w:jc w:val="center"/>
        <w:rPr>
          <w:rFonts w:ascii="Times New Roman" w:cs="Times New Roman" w:hAnsi="Times New Roman"/>
          <w:sz w:val="48"/>
          <w:szCs w:val="48"/>
        </w:rPr>
      </w:pPr>
      <w:r>
        <w:rPr>
          <w:rFonts w:ascii="Times New Roman" w:cs="Times New Roman" w:hAnsi="Times New Roman"/>
          <w:sz w:val="48"/>
          <w:szCs w:val="48"/>
        </w:rPr>
        <w:t xml:space="preserve">                 </w:t>
      </w:r>
      <w:r>
        <w:rPr>
          <w:rFonts w:ascii="Times New Roman" w:cs="Times New Roman" w:hAnsi="Times New Roman"/>
        </w:rPr>
        <w:drawing>
          <wp:inline distT="0" distB="0" distL="0" distR="0">
            <wp:extent cx="3067050" cy="3067050"/>
            <wp:effectExtent l="0" t="0" r="0" b="0"/>
            <wp:docPr id="1" name="图片 1" descr="C:\Users\lenovo\AppData\Local\Temp\ksohtml11336\wps1.jpg"/>
            <wp:cNvGraphicFramePr>
              <a:graphicFrameLocks noChangeAspect="1"/>
            </wp:cNvGraphicFramePr>
            <a:graphic>
              <a:graphicData uri="http://schemas.openxmlformats.org/drawingml/2006/picture">
                <pic:pic>
                  <pic:nvPicPr>
                    <pic:cNvPr id="3" name="图片 1 3"/>
                    <pic:cNvPicPr/>
                  </pic:nvPicPr>
                  <pic:blipFill>
                    <a:blip r:embed="rId2"/>
                    <a:stretch>
                      <a:fillRect/>
                    </a:stretch>
                  </pic:blipFill>
                  <pic:spPr>
                    <a:xfrm rot="0">
                      <a:off x="0" y="0"/>
                      <a:ext cx="3067050" cy="3067050"/>
                    </a:xfrm>
                    <a:prstGeom prst="rect"/>
                    <a:noFill/>
                    <a:ln w="9525" cmpd="sng" cap="flat">
                      <a:noFill/>
                      <a:prstDash val="solid"/>
                      <a:round/>
                    </a:ln>
                  </pic:spPr>
                </pic:pic>
              </a:graphicData>
            </a:graphic>
          </wp:inline>
        </w:drawing>
      </w:r>
    </w:p>
    <w:p>
      <w:pPr>
        <w:jc w:val="center"/>
        <w:rPr>
          <w:rFonts w:ascii="Times New Roman" w:cs="Times New Roman" w:hAnsi="Times New Roman"/>
          <w:sz w:val="48"/>
          <w:szCs w:val="48"/>
        </w:rPr>
      </w:pPr>
      <w:r>
        <w:rPr>
          <w:rFonts w:ascii="Times New Roman" w:cs="Times New Roman" w:hAnsi="Times New Roman"/>
          <w:sz w:val="48"/>
          <w:szCs w:val="48"/>
        </w:rPr>
        <w:t xml:space="preserve">                   </w:t>
      </w:r>
    </w:p>
    <w:p>
      <w:pPr>
        <w:jc w:val="center"/>
        <w:rPr>
          <w:rFonts w:ascii="Times New Roman" w:cs="Times New Roman" w:hAnsi="Times New Roman"/>
          <w:sz w:val="84"/>
          <w:szCs w:val="84"/>
        </w:rPr>
      </w:pPr>
      <w:r>
        <w:rPr>
          <w:rFonts w:ascii="Times New Roman" w:cs="Times New Roman" w:hAnsi="Times New Roman"/>
          <w:sz w:val="84"/>
          <w:szCs w:val="84"/>
        </w:rPr>
        <w:t>徐州海关本级</w:t>
      </w:r>
    </w:p>
    <w:p>
      <w:pPr>
        <w:jc w:val="center"/>
        <w:rPr>
          <w:rFonts w:ascii="Times New Roman" w:cs="Times New Roman" w:hAnsi="Times New Roman"/>
          <w:sz w:val="84"/>
          <w:szCs w:val="84"/>
        </w:rPr>
      </w:pPr>
      <w:r>
        <w:rPr>
          <w:rFonts w:ascii="Times New Roman" w:cs="Times New Roman" w:hAnsi="Times New Roman"/>
          <w:sz w:val="84"/>
          <w:szCs w:val="84"/>
        </w:rPr>
        <w:t>部门预算</w:t>
      </w:r>
    </w:p>
    <w:p>
      <w:pPr>
        <w:jc w:val="center"/>
        <w:rPr>
          <w:rFonts w:ascii="Times New Roman" w:cs="Times New Roman" w:hAnsi="Times New Roman"/>
          <w:sz w:val="44"/>
          <w:szCs w:val="44"/>
        </w:rPr>
      </w:pPr>
      <w:r>
        <w:rPr>
          <w:rFonts w:ascii="Times New Roman" w:cs="Times New Roman" w:hAnsi="Times New Roman"/>
          <w:sz w:val="44"/>
          <w:szCs w:val="44"/>
        </w:rPr>
        <w:t>2026年</w:t>
      </w:r>
    </w:p>
    <w:p>
      <w:pPr>
        <w:jc w:val="center"/>
        <w:rPr>
          <w:rFonts w:ascii="Times New Roman" w:cs="Times New Roman" w:hAnsi="Times New Roman"/>
          <w:sz w:val="44"/>
          <w:szCs w:val="44"/>
        </w:rPr>
      </w:pPr>
      <w:r>
        <w:rPr>
          <w:rFonts w:ascii="Times New Roman" w:cs="Times New Roman" w:hAnsi="Times New Roman"/>
          <w:sz w:val="44"/>
          <w:szCs w:val="44"/>
        </w:rPr>
        <w:t xml:space="preserve"> </w:t>
      </w:r>
    </w:p>
    <w:p>
      <w:pPr>
        <w:jc w:val="center"/>
        <w:rPr>
          <w:rFonts w:ascii="Times New Roman" w:eastAsia="方正仿宋_GBK" w:cs="Times New Roman" w:hAnsi="Times New Roman"/>
          <w:sz w:val="84"/>
          <w:szCs w:val="84"/>
        </w:rPr>
      </w:pPr>
    </w:p>
    <w:p>
      <w:pPr>
        <w:jc w:val="center"/>
        <w:rPr>
          <w:rFonts w:ascii="Times New Roman" w:eastAsia="方正仿宋_GBK" w:cs="Times New Roman" w:hAnsi="Times New Roman"/>
          <w:sz w:val="84"/>
          <w:szCs w:val="84"/>
        </w:rPr>
        <w:sectPr>
          <w:pgSz w:w="11906" w:h="16838"/>
          <w:pgMar w:top="1440" w:right="1800" w:bottom="1440" w:left="1800" w:header="851" w:footer="992" w:gutter="0"/>
          <w:cols w:num="1" w:space="720"/>
          <w:docGrid w:type="lines" w:linePitch="312" w:charSpace="0"/>
        </w:sectPr>
      </w:pPr>
    </w:p>
    <w:p>
      <w:pPr>
        <w:jc w:val="center"/>
        <w:rPr>
          <w:rFonts w:ascii="Times New Roman" w:cs="Times New Roman" w:hAnsi="Times New Roman"/>
          <w:b/>
          <w:sz w:val="84"/>
          <w:szCs w:val="84"/>
        </w:rPr>
      </w:pPr>
      <w:r>
        <w:rPr>
          <w:rFonts w:ascii="Times New Roman" w:eastAsia="方正仿宋_GBK" w:cs="Times New Roman" w:hAnsi="Times New Roman"/>
          <w:sz w:val="84"/>
          <w:szCs w:val="84"/>
        </w:rPr>
        <w:tab/>
      </w:r>
      <w:r>
        <w:rPr>
          <w:rFonts w:ascii="Times New Roman" w:cs="Times New Roman" w:hAnsi="Times New Roman"/>
          <w:b/>
          <w:sz w:val="84"/>
          <w:szCs w:val="84"/>
        </w:rPr>
        <w:t>目  录</w:t>
      </w:r>
    </w:p>
    <w:p>
      <w:pPr>
        <w:jc w:val="center"/>
        <w:rPr>
          <w:rFonts w:ascii="Times New Roman" w:cs="Times New Roman" w:hAnsi="Times New Roman"/>
          <w:b/>
          <w:sz w:val="84"/>
          <w:szCs w:val="84"/>
        </w:rPr>
      </w:pPr>
      <w:r>
        <w:rPr>
          <w:rFonts w:ascii="Times New Roman" w:cs="Times New Roman" w:hAnsi="Times New Roman"/>
          <w:b/>
          <w:sz w:val="84"/>
          <w:szCs w:val="84"/>
        </w:rPr>
        <w:t xml:space="preserve"> </w:t>
      </w:r>
    </w:p>
    <w:p>
      <w:pPr>
        <w:rPr>
          <w:rFonts w:ascii="Times New Roman" w:cs="Times New Roman" w:hAnsi="Times New Roman"/>
          <w:b/>
          <w:sz w:val="44"/>
          <w:szCs w:val="44"/>
        </w:rPr>
      </w:pPr>
      <w:r>
        <w:rPr>
          <w:rFonts w:ascii="Times New Roman" w:cs="Times New Roman" w:hAnsi="Times New Roman"/>
          <w:b/>
          <w:sz w:val="44"/>
          <w:szCs w:val="44"/>
        </w:rPr>
        <w:t>第一部分 徐州海关本级部门概况</w:t>
      </w:r>
    </w:p>
    <w:p>
      <w:pPr>
        <w:rPr>
          <w:rFonts w:ascii="Times New Roman" w:cs="Times New Roman" w:hAnsi="Times New Roman"/>
          <w:sz w:val="36"/>
          <w:szCs w:val="36"/>
        </w:rPr>
      </w:pPr>
      <w:r>
        <w:rPr>
          <w:rFonts w:ascii="Times New Roman" w:cs="Times New Roman" w:hAnsi="Times New Roman"/>
          <w:sz w:val="36"/>
          <w:szCs w:val="36"/>
        </w:rPr>
        <w:t>一、主要职能</w:t>
      </w:r>
    </w:p>
    <w:p>
      <w:pPr>
        <w:rPr>
          <w:rFonts w:ascii="Times New Roman" w:cs="Times New Roman" w:hAnsi="Times New Roman"/>
          <w:sz w:val="36"/>
          <w:szCs w:val="36"/>
        </w:rPr>
      </w:pPr>
      <w:r>
        <w:rPr>
          <w:rFonts w:ascii="Times New Roman" w:cs="Times New Roman" w:hAnsi="Times New Roman"/>
          <w:sz w:val="36"/>
          <w:szCs w:val="36"/>
        </w:rPr>
        <w:t xml:space="preserve">二、徐州海关本级系统单位构成情况 </w:t>
      </w:r>
    </w:p>
    <w:p>
      <w:pPr>
        <w:rPr>
          <w:rFonts w:ascii="Times New Roman" w:cs="Times New Roman" w:hAnsi="Times New Roman"/>
          <w:b/>
          <w:sz w:val="44"/>
          <w:szCs w:val="44"/>
        </w:rPr>
      </w:pPr>
      <w:r>
        <w:rPr>
          <w:rFonts w:ascii="Times New Roman" w:cs="Times New Roman" w:hAnsi="Times New Roman"/>
          <w:b/>
          <w:sz w:val="44"/>
          <w:szCs w:val="44"/>
        </w:rPr>
        <w:t>第二部分 徐州海关本级2026年部门预算表</w:t>
      </w:r>
    </w:p>
    <w:p>
      <w:pPr>
        <w:rPr>
          <w:rFonts w:ascii="Times New Roman" w:cs="Times New Roman" w:hAnsi="Times New Roman"/>
          <w:color w:val="3366FF"/>
          <w:sz w:val="36"/>
          <w:szCs w:val="36"/>
        </w:rPr>
      </w:pPr>
      <w:r>
        <w:rPr>
          <w:rFonts w:ascii="Times New Roman" w:cs="Times New Roman" w:hAnsi="Times New Roman"/>
          <w:sz w:val="36"/>
          <w:szCs w:val="36"/>
        </w:rPr>
        <w:t>一、部门收支总表</w:t>
      </w:r>
    </w:p>
    <w:p>
      <w:pPr>
        <w:pStyle w:val="27"/>
        <w:rPr>
          <w:sz w:val="36"/>
          <w:szCs w:val="36"/>
        </w:rPr>
      </w:pPr>
      <w:r>
        <w:rPr>
          <w:sz w:val="36"/>
          <w:szCs w:val="36"/>
        </w:rPr>
        <w:t>二、部门收入总表</w:t>
      </w:r>
    </w:p>
    <w:p>
      <w:pPr>
        <w:pStyle w:val="26"/>
        <w:rPr>
          <w:sz w:val="36"/>
          <w:szCs w:val="36"/>
        </w:rPr>
      </w:pPr>
      <w:r>
        <w:rPr>
          <w:sz w:val="36"/>
          <w:szCs w:val="36"/>
        </w:rPr>
        <w:t>三、部门支出总表</w:t>
      </w:r>
    </w:p>
    <w:p>
      <w:pPr>
        <w:rPr>
          <w:rFonts w:ascii="Times New Roman" w:cs="Times New Roman" w:hAnsi="Times New Roman"/>
          <w:sz w:val="36"/>
          <w:szCs w:val="36"/>
        </w:rPr>
      </w:pPr>
      <w:r>
        <w:rPr>
          <w:rFonts w:ascii="Times New Roman" w:cs="Times New Roman" w:hAnsi="Times New Roman"/>
          <w:sz w:val="36"/>
          <w:szCs w:val="36"/>
        </w:rPr>
        <w:t>四、财政拨款收支总表</w:t>
      </w:r>
    </w:p>
    <w:p>
      <w:pPr>
        <w:rPr>
          <w:rFonts w:ascii="Times New Roman" w:cs="Times New Roman" w:hAnsi="Times New Roman"/>
          <w:sz w:val="36"/>
          <w:szCs w:val="36"/>
        </w:rPr>
      </w:pPr>
      <w:r>
        <w:rPr>
          <w:rFonts w:ascii="Times New Roman" w:cs="Times New Roman" w:hAnsi="Times New Roman"/>
          <w:sz w:val="36"/>
          <w:szCs w:val="36"/>
        </w:rPr>
        <w:t>五、一般公共预算支出表</w:t>
      </w:r>
    </w:p>
    <w:p>
      <w:pPr>
        <w:rPr>
          <w:rFonts w:ascii="Times New Roman" w:cs="Times New Roman" w:hAnsi="Times New Roman"/>
          <w:color w:val="339966"/>
          <w:sz w:val="36"/>
          <w:szCs w:val="36"/>
        </w:rPr>
      </w:pPr>
      <w:r>
        <w:rPr>
          <w:rFonts w:ascii="Times New Roman" w:cs="Times New Roman" w:hAnsi="Times New Roman"/>
          <w:sz w:val="36"/>
          <w:szCs w:val="36"/>
        </w:rPr>
        <w:t>六、一般公共预算基本支出表</w:t>
      </w:r>
    </w:p>
    <w:p>
      <w:pPr>
        <w:rPr>
          <w:rFonts w:ascii="Times New Roman" w:cs="Times New Roman" w:hAnsi="Times New Roman"/>
          <w:sz w:val="36"/>
          <w:szCs w:val="36"/>
        </w:rPr>
      </w:pPr>
      <w:r>
        <w:rPr>
          <w:rFonts w:ascii="Times New Roman" w:cs="Times New Roman" w:hAnsi="Times New Roman"/>
          <w:sz w:val="36"/>
          <w:szCs w:val="36"/>
        </w:rPr>
        <w:t>七、政府性基金预算支出表</w:t>
      </w:r>
    </w:p>
    <w:p>
      <w:pPr>
        <w:rPr>
          <w:rFonts w:ascii="Times New Roman" w:cs="Times New Roman" w:hAnsi="Times New Roman"/>
          <w:sz w:val="36"/>
          <w:szCs w:val="36"/>
        </w:rPr>
      </w:pPr>
      <w:r>
        <w:rPr>
          <w:rFonts w:ascii="Times New Roman" w:cs="Times New Roman" w:hAnsi="Times New Roman"/>
          <w:sz w:val="36"/>
          <w:szCs w:val="36"/>
        </w:rPr>
        <w:t>八、国有资本经营预算支出表</w:t>
      </w:r>
    </w:p>
    <w:p>
      <w:pPr>
        <w:rPr>
          <w:rFonts w:ascii="Times New Roman" w:cs="Times New Roman" w:hAnsi="Times New Roman"/>
          <w:sz w:val="36"/>
          <w:szCs w:val="36"/>
        </w:rPr>
      </w:pPr>
      <w:r>
        <w:rPr>
          <w:rFonts w:ascii="Times New Roman" w:cs="Times New Roman" w:hAnsi="Times New Roman"/>
          <w:sz w:val="36"/>
          <w:szCs w:val="36"/>
        </w:rPr>
        <w:t>九、财政拨款预算“三公”经费支出表</w:t>
      </w:r>
    </w:p>
    <w:p>
      <w:pPr>
        <w:ind w:left="2164" w:hangingChars="492" w:hanging="2164"/>
        <w:rPr>
          <w:rFonts w:ascii="Times New Roman" w:cs="Times New Roman" w:hAnsi="Times New Roman"/>
          <w:b/>
          <w:sz w:val="44"/>
          <w:szCs w:val="44"/>
        </w:rPr>
      </w:pPr>
      <w:r>
        <w:rPr>
          <w:rFonts w:ascii="Times New Roman" w:cs="Times New Roman" w:hAnsi="Times New Roman"/>
          <w:b/>
          <w:sz w:val="44"/>
          <w:szCs w:val="44"/>
        </w:rPr>
        <w:t>第三部分  徐州海关本级2026年部门预算情况说明</w:t>
      </w:r>
    </w:p>
    <w:p>
      <w:pPr>
        <w:rPr>
          <w:rFonts w:ascii="Times New Roman" w:cs="Times New Roman" w:hAnsi="Times New Roman"/>
          <w:b/>
          <w:sz w:val="44"/>
          <w:szCs w:val="44"/>
        </w:rPr>
      </w:pPr>
      <w:r>
        <w:rPr>
          <w:rFonts w:ascii="Times New Roman" w:cs="Times New Roman" w:hAnsi="Times New Roman"/>
          <w:b/>
          <w:sz w:val="44"/>
          <w:szCs w:val="44"/>
        </w:rPr>
        <w:t>第四部分  名词解释</w:t>
      </w:r>
    </w:p>
    <w:p>
      <w:pPr>
        <w:rPr>
          <w:rFonts w:ascii="Times New Roman" w:cs="Times New Roman" w:hAnsi="Times New Roman"/>
          <w:b/>
          <w:sz w:val="44"/>
          <w:szCs w:val="44"/>
        </w:rPr>
        <w:sectPr>
          <w:pgSz w:w="11906" w:h="16838"/>
          <w:pgMar w:top="1440" w:right="1800" w:bottom="1440" w:left="1800" w:header="851" w:footer="992" w:gutter="0"/>
          <w:cols w:num="1" w:space="720"/>
          <w:docGrid w:type="lines" w:linePitch="312" w:charSpace="0"/>
        </w:sectPr>
      </w:pPr>
      <w:r>
        <w:rPr>
          <w:rFonts w:ascii="Times New Roman" w:cs="Times New Roman" w:hAnsi="Times New Roman"/>
          <w:b/>
          <w:sz w:val="44"/>
          <w:szCs w:val="44"/>
        </w:rPr>
        <w:t>第五部分  附件</w:t>
      </w:r>
    </w:p>
    <w:p>
      <w:pPr>
        <w:jc w:val="center"/>
        <w:rPr>
          <w:rFonts w:ascii="Times New Roman" w:eastAsia="方正仿宋_GBK" w:cs="Times New Roman" w:hAnsi="Times New Roman"/>
          <w:sz w:val="84"/>
          <w:szCs w:val="84"/>
        </w:rPr>
      </w:pPr>
    </w:p>
    <w:p>
      <w:pPr>
        <w:jc w:val="center"/>
        <w:rPr>
          <w:rFonts w:ascii="Times New Roman" w:eastAsia="方正仿宋_GBK" w:cs="Times New Roman" w:hAnsi="Times New Roman"/>
          <w:sz w:val="84"/>
          <w:szCs w:val="84"/>
        </w:rPr>
      </w:pPr>
    </w:p>
    <w:p>
      <w:pPr>
        <w:jc w:val="center"/>
        <w:rPr>
          <w:rFonts w:ascii="Times New Roman" w:eastAsia="方正仿宋_GBK" w:cs="Times New Roman" w:hAnsi="Times New Roman"/>
          <w:sz w:val="84"/>
          <w:szCs w:val="84"/>
        </w:rPr>
      </w:pPr>
    </w:p>
    <w:p>
      <w:pPr>
        <w:jc w:val="center"/>
        <w:rPr>
          <w:rFonts w:ascii="Times New Roman" w:eastAsia="方正仿宋_GBK" w:cs="Times New Roman" w:hAnsi="Times New Roman"/>
          <w:sz w:val="84"/>
          <w:szCs w:val="84"/>
        </w:rPr>
      </w:pPr>
    </w:p>
    <w:p>
      <w:pPr>
        <w:jc w:val="center"/>
        <w:rPr>
          <w:rFonts w:ascii="Times New Roman" w:cs="Times New Roman" w:hAnsi="Times New Roman"/>
          <w:b/>
          <w:sz w:val="84"/>
          <w:szCs w:val="84"/>
        </w:rPr>
      </w:pPr>
      <w:r>
        <w:rPr>
          <w:rFonts w:ascii="Times New Roman" w:cs="Times New Roman" w:hAnsi="Times New Roman"/>
          <w:b/>
          <w:sz w:val="84"/>
          <w:szCs w:val="84"/>
        </w:rPr>
        <w:t>第一部分</w:t>
      </w:r>
    </w:p>
    <w:p>
      <w:pPr>
        <w:jc w:val="center"/>
        <w:rPr>
          <w:rFonts w:ascii="Times New Roman" w:cs="Times New Roman" w:hAnsi="Times New Roman"/>
          <w:b/>
          <w:sz w:val="84"/>
          <w:szCs w:val="84"/>
        </w:rPr>
      </w:pPr>
      <w:r>
        <w:rPr>
          <w:rFonts w:ascii="Times New Roman" w:cs="Times New Roman" w:hAnsi="Times New Roman"/>
          <w:b/>
          <w:sz w:val="84"/>
          <w:szCs w:val="84"/>
        </w:rPr>
        <w:t>徐州海关本级部门</w:t>
      </w:r>
    </w:p>
    <w:p>
      <w:pPr>
        <w:jc w:val="center"/>
        <w:rPr>
          <w:rFonts w:ascii="Times New Roman" w:cs="Times New Roman" w:hAnsi="Times New Roman"/>
          <w:b/>
          <w:sz w:val="84"/>
          <w:szCs w:val="84"/>
        </w:rPr>
      </w:pPr>
      <w:r>
        <w:rPr>
          <w:rFonts w:ascii="Times New Roman" w:cs="Times New Roman" w:hAnsi="Times New Roman"/>
          <w:b/>
          <w:sz w:val="84"/>
          <w:szCs w:val="84"/>
        </w:rPr>
        <w:t>概况</w:t>
      </w:r>
    </w:p>
    <w:p>
      <w:pPr>
        <w:jc w:val="center"/>
        <w:rPr>
          <w:rFonts w:ascii="Times New Roman" w:eastAsia="方正仿宋_GBK" w:cs="Times New Roman" w:hAnsi="Times New Roman"/>
          <w:sz w:val="84"/>
          <w:szCs w:val="84"/>
        </w:rPr>
      </w:pPr>
    </w:p>
    <w:p>
      <w:pPr>
        <w:jc w:val="center"/>
        <w:rPr>
          <w:rFonts w:ascii="Times New Roman" w:eastAsia="方正仿宋_GBK" w:cs="Times New Roman" w:hAnsi="Times New Roman"/>
          <w:sz w:val="84"/>
          <w:szCs w:val="84"/>
        </w:rPr>
      </w:pPr>
    </w:p>
    <w:p>
      <w:pPr>
        <w:jc w:val="center"/>
        <w:rPr>
          <w:rFonts w:ascii="Times New Roman" w:eastAsia="方正仿宋_GBK" w:cs="Times New Roman" w:hAnsi="Times New Roman"/>
          <w:sz w:val="84"/>
          <w:szCs w:val="84"/>
        </w:rPr>
      </w:pPr>
    </w:p>
    <w:p>
      <w:pPr>
        <w:jc w:val="center"/>
        <w:rPr>
          <w:rFonts w:ascii="Times New Roman" w:eastAsia="方正仿宋_GBK" w:cs="Times New Roman" w:hAnsi="Times New Roman"/>
          <w:sz w:val="84"/>
          <w:szCs w:val="84"/>
        </w:rPr>
      </w:pPr>
    </w:p>
    <w:p>
      <w:pPr>
        <w:spacing w:line="560" w:lineRule="exact"/>
        <w:ind w:firstLineChars="200" w:firstLine="640"/>
        <w:jc w:val="left"/>
        <w:rPr>
          <w:rFonts w:ascii="Times New Roman" w:eastAsia="方正黑体_GBK" w:cs="Times New Roman" w:hAnsi="Times New Roman"/>
          <w:sz w:val="32"/>
          <w:szCs w:val="32"/>
        </w:rPr>
      </w:pPr>
      <w:r>
        <w:rPr>
          <w:rFonts w:ascii="Times New Roman" w:eastAsia="方正黑体_GBK" w:cs="Times New Roman" w:hAnsi="Times New Roman"/>
          <w:sz w:val="32"/>
          <w:szCs w:val="32"/>
        </w:rPr>
        <w:t>一、主要职能</w:t>
      </w:r>
    </w:p>
    <w:p>
      <w:pPr>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徐州海关是受南京海关直接领导，按授权负责指定口岸和区域范围内海关各类管理工作的正处级隶属海关。徐州海关管辖范围为徐州市的各项海关管理工作。主要职责是：按授权负责指定徐州地区口岸和区域范围内海关各类管理工作，包括海关监管、进出口关税及其他税费征收管理、出入境卫生检疫和出入境动植物及其产品检验检疫、进出口商品法定检验、海关风险管理、国家进出口货物贸易等海关统计、打击走私综合治理。</w:t>
      </w:r>
    </w:p>
    <w:p>
      <w:pPr>
        <w:spacing w:line="560" w:lineRule="exact"/>
        <w:ind w:firstLineChars="200" w:firstLine="640"/>
        <w:jc w:val="left"/>
        <w:rPr>
          <w:rFonts w:ascii="Times New Roman" w:eastAsia="方正黑体_GBK" w:cs="Times New Roman" w:hAnsi="Times New Roman"/>
          <w:sz w:val="32"/>
          <w:szCs w:val="32"/>
        </w:rPr>
      </w:pPr>
      <w:r>
        <w:rPr>
          <w:rFonts w:ascii="Times New Roman" w:eastAsia="方正黑体_GBK" w:cs="Times New Roman" w:hAnsi="Times New Roman"/>
          <w:sz w:val="32"/>
          <w:szCs w:val="32"/>
        </w:rPr>
        <w:t>二、徐州海关单位构成情况</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徐州海关1993年4月经国务院批准设立，1995年12月28日开关，2006年6月29日成立徐州海关缉私分局。2018年4月起，原徐州出入境检验检疫局职能和队伍整体划入徐州海关。</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徐州海关内设14个正科级机构，1个副处级派驻机构（驻机场办事处，</w:t>
      </w:r>
      <w:r>
        <w:rPr>
          <w:rFonts w:ascii="Times New Roman" w:eastAsia="方正仿宋_GBK" w:cs="Times New Roman" w:hAnsi="Times New Roman"/>
          <w:snapToGrid w:val="0"/>
          <w:sz w:val="32"/>
          <w:szCs w:val="32"/>
        </w:rPr>
        <w:t>内设3个科，分别为综合业务科、旅检科、机场监管科</w:t>
      </w:r>
      <w:r>
        <w:rPr>
          <w:rFonts w:ascii="Times New Roman" w:eastAsia="方正仿宋_GBK" w:cs="Times New Roman" w:hAnsi="Times New Roman"/>
          <w:sz w:val="32"/>
          <w:szCs w:val="32"/>
        </w:rPr>
        <w:t>）；下设1个事业单位（综合技术服务中心）；另设徐州海关缉私分局。徐州海关本级现有关警员94人（关员82人，缉私警察12人），退休人员39人；处级领导干部8人，科级干部37人。</w:t>
      </w:r>
    </w:p>
    <w:p>
      <w:pPr>
        <w:spacing w:line="560" w:lineRule="exact"/>
        <w:ind w:firstLineChars="200" w:firstLine="640"/>
        <w:rPr>
          <w:rFonts w:ascii="Times New Roman" w:eastAsia="方正仿宋_GBK" w:cs="Times New Roman" w:hAnsi="Times New Roman"/>
          <w:snapToGrid w:val="0"/>
          <w:kern w:val="0"/>
          <w:sz w:val="32"/>
          <w:szCs w:val="32"/>
        </w:rPr>
      </w:pPr>
      <w:r>
        <w:rPr>
          <w:rFonts w:ascii="Times New Roman" w:eastAsia="方正仿宋_GBK" w:cs="Times New Roman" w:hAnsi="Times New Roman"/>
          <w:snapToGrid w:val="0"/>
          <w:sz w:val="32"/>
          <w:szCs w:val="32"/>
        </w:rPr>
        <w:t>目前有5处办公场所，分别位于淮海东路、西安南路、综合保税区、国际邮件互换局以及观音国际机场。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纳入徐州海关本级2026年部门预算编制范围的单位如下：</w:t>
      </w:r>
    </w:p>
    <w:p>
      <w:pPr>
        <w:spacing w:line="560" w:lineRule="exact"/>
        <w:ind w:firstLineChars="200" w:firstLine="640"/>
        <w:rPr>
          <w:rFonts w:ascii="Times New Roman" w:eastAsia="方正仿宋_GBK" w:cs="Times New Roman" w:hAnsi="Times New Roman"/>
          <w:sz w:val="32"/>
          <w:szCs w:val="32"/>
        </w:rPr>
      </w:pPr>
    </w:p>
    <w:tbl>
      <w:tblPr>
        <w:jc w:val="center"/>
        <w:tblW w:w="8926"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704"/>
        <w:gridCol w:w="2977"/>
        <w:gridCol w:w="709"/>
        <w:gridCol w:w="4536"/>
      </w:tblGrid>
      <w:tr>
        <w:trPr>
          <w:trHeight w:hRule="exact" w:val="312"/>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eastAsia="方正黑体_GBK" w:cs="Times New Roman" w:hAnsi="Times New Roman"/>
                <w:kern w:val="0"/>
                <w:sz w:val="20"/>
                <w:szCs w:val="20"/>
              </w:rPr>
            </w:pPr>
            <w:r>
              <w:rPr>
                <w:rFonts w:ascii="Times New Roman" w:eastAsia="方正黑体_GBK" w:cs="Times New Roman" w:hAnsi="Times New Roman"/>
                <w:kern w:val="0"/>
                <w:sz w:val="20"/>
                <w:szCs w:val="20"/>
              </w:rPr>
              <w:t>序号</w:t>
            </w:r>
          </w:p>
        </w:tc>
        <w:tc>
          <w:tcPr>
            <w:tcW w:w="2977" w:type="dxa"/>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Times New Roman" w:eastAsia="方正黑体_GBK" w:cs="Times New Roman" w:hAnsi="Times New Roman"/>
                <w:kern w:val="0"/>
                <w:sz w:val="20"/>
                <w:szCs w:val="20"/>
              </w:rPr>
            </w:pPr>
            <w:r>
              <w:rPr>
                <w:rFonts w:ascii="Times New Roman" w:eastAsia="方正黑体_GBK" w:cs="Times New Roman" w:hAnsi="Times New Roman"/>
                <w:kern w:val="0"/>
                <w:sz w:val="20"/>
                <w:szCs w:val="20"/>
              </w:rPr>
              <w:t>单位名称</w:t>
            </w:r>
          </w:p>
        </w:tc>
        <w:tc>
          <w:tcPr>
            <w:tcW w:w="709" w:type="dxa"/>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Times New Roman" w:eastAsia="方正黑体_GBK" w:cs="Times New Roman" w:hAnsi="Times New Roman"/>
                <w:kern w:val="0"/>
                <w:sz w:val="20"/>
                <w:szCs w:val="20"/>
              </w:rPr>
            </w:pPr>
            <w:r>
              <w:rPr>
                <w:rFonts w:ascii="Times New Roman" w:eastAsia="方正黑体_GBK" w:cs="Times New Roman" w:hAnsi="Times New Roman"/>
                <w:kern w:val="0"/>
                <w:sz w:val="20"/>
                <w:szCs w:val="20"/>
              </w:rPr>
              <w:t>序号</w:t>
            </w:r>
          </w:p>
        </w:tc>
        <w:tc>
          <w:tcPr>
            <w:tcW w:w="4536" w:type="dxa"/>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Times New Roman" w:eastAsia="方正黑体_GBK" w:cs="Times New Roman" w:hAnsi="Times New Roman"/>
                <w:kern w:val="0"/>
                <w:sz w:val="20"/>
                <w:szCs w:val="20"/>
              </w:rPr>
            </w:pPr>
            <w:r>
              <w:rPr>
                <w:rFonts w:ascii="Times New Roman" w:eastAsia="方正黑体_GBK" w:cs="Times New Roman" w:hAnsi="Times New Roman"/>
                <w:kern w:val="0"/>
                <w:sz w:val="20"/>
                <w:szCs w:val="20"/>
              </w:rPr>
              <w:t>单位名称</w:t>
            </w: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1</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r>
              <w:rPr>
                <w:rFonts w:ascii="Times New Roman" w:eastAsia="方正仿宋_GBK" w:cs="Times New Roman" w:hAnsi="Times New Roman"/>
                <w:kern w:val="0"/>
                <w:sz w:val="20"/>
                <w:szCs w:val="20"/>
              </w:rPr>
              <w:t>中华人民共和国徐州海关本级</w:t>
            </w: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33</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2</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34</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3</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35</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4</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36</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5</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37</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6</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38</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7</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39</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8</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40</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9</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41</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10</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42</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11</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43</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12</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44</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13</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45</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14</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46</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15</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47</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16</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48</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17</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49</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18</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50</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19</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51</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20</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52</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21</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53</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22</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54</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23</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55</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24</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56</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25</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57</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26</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58</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27</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59</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28</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60</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29</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61</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30</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62</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31</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63</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r>
        <w:trPr>
          <w:trHeight w:hRule="exact" w:val="312"/>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32</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64</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Times New Roman" w:hAnsi="Times New Roman"/>
                <w:kern w:val="0"/>
                <w:sz w:val="20"/>
                <w:szCs w:val="20"/>
              </w:rPr>
            </w:pPr>
          </w:p>
        </w:tc>
      </w:tr>
    </w:tbl>
    <w:p>
      <w:pPr>
        <w:jc w:val="center"/>
        <w:rPr>
          <w:rFonts w:ascii="Times New Roman" w:eastAsia="方正仿宋_GBK" w:cs="Times New Roman" w:hAnsi="Times New Roman"/>
          <w:sz w:val="84"/>
          <w:szCs w:val="84"/>
        </w:rPr>
      </w:pPr>
    </w:p>
    <w:p>
      <w:pPr>
        <w:jc w:val="center"/>
        <w:rPr>
          <w:rFonts w:ascii="Times New Roman" w:eastAsia="方正仿宋_GBK" w:cs="Times New Roman" w:hAnsi="Times New Roman"/>
          <w:sz w:val="84"/>
          <w:szCs w:val="84"/>
        </w:rPr>
      </w:pPr>
    </w:p>
    <w:p>
      <w:pPr>
        <w:jc w:val="center"/>
        <w:rPr>
          <w:rFonts w:ascii="Times New Roman" w:eastAsia="方正仿宋_GBK" w:cs="Times New Roman" w:hAnsi="Times New Roman"/>
          <w:sz w:val="84"/>
          <w:szCs w:val="84"/>
        </w:rPr>
      </w:pPr>
    </w:p>
    <w:p>
      <w:pPr>
        <w:jc w:val="center"/>
        <w:rPr>
          <w:rFonts w:ascii="Times New Roman" w:eastAsia="方正仿宋_GBK" w:cs="Times New Roman" w:hAnsi="Times New Roman"/>
          <w:sz w:val="84"/>
          <w:szCs w:val="84"/>
        </w:rPr>
      </w:pPr>
    </w:p>
    <w:p>
      <w:pPr>
        <w:jc w:val="center"/>
        <w:rPr>
          <w:rFonts w:ascii="Times New Roman" w:cs="Times New Roman" w:hAnsi="Times New Roman"/>
          <w:b/>
          <w:sz w:val="72"/>
          <w:szCs w:val="72"/>
        </w:rPr>
      </w:pPr>
      <w:r>
        <w:rPr>
          <w:rFonts w:ascii="Times New Roman" w:cs="Times New Roman" w:hAnsi="Times New Roman"/>
          <w:b/>
          <w:sz w:val="72"/>
          <w:szCs w:val="72"/>
        </w:rPr>
        <w:t xml:space="preserve">第二部分  </w:t>
      </w:r>
    </w:p>
    <w:p>
      <w:pPr>
        <w:jc w:val="center"/>
        <w:rPr>
          <w:rFonts w:ascii="Times New Roman" w:cs="Times New Roman" w:hAnsi="Times New Roman"/>
          <w:b/>
          <w:sz w:val="72"/>
          <w:szCs w:val="72"/>
        </w:rPr>
      </w:pPr>
      <w:r>
        <w:rPr>
          <w:rFonts w:ascii="Times New Roman" w:cs="Times New Roman" w:hAnsi="Times New Roman"/>
          <w:b/>
          <w:sz w:val="72"/>
          <w:szCs w:val="72"/>
        </w:rPr>
        <w:t>徐州海关本级</w:t>
      </w:r>
    </w:p>
    <w:p>
      <w:pPr>
        <w:jc w:val="center"/>
        <w:rPr>
          <w:rFonts w:ascii="Times New Roman" w:cs="Times New Roman" w:hAnsi="Times New Roman"/>
          <w:szCs w:val="21"/>
        </w:rPr>
      </w:pPr>
      <w:r>
        <w:rPr>
          <w:rFonts w:ascii="Times New Roman" w:cs="Times New Roman" w:hAnsi="Times New Roman"/>
          <w:b/>
          <w:sz w:val="72"/>
          <w:szCs w:val="72"/>
        </w:rPr>
        <w:t>2026年部门预算表</w:t>
      </w:r>
    </w:p>
    <w:p>
      <w:pPr>
        <w:jc w:val="center"/>
        <w:rPr>
          <w:rFonts w:ascii="Times New Roman" w:eastAsia="方正仿宋_GBK" w:cs="Times New Roman" w:hAnsi="Times New Roman"/>
          <w:sz w:val="84"/>
          <w:szCs w:val="84"/>
        </w:rPr>
      </w:pPr>
    </w:p>
    <w:p>
      <w:pPr>
        <w:jc w:val="center"/>
        <w:rPr>
          <w:rFonts w:ascii="Times New Roman" w:eastAsia="方正仿宋_GBK" w:cs="Times New Roman" w:hAnsi="Times New Roman"/>
          <w:sz w:val="84"/>
          <w:szCs w:val="84"/>
        </w:rPr>
      </w:pPr>
    </w:p>
    <w:p>
      <w:pPr>
        <w:widowControl/>
        <w:jc w:val="left"/>
        <w:rPr>
          <w:rFonts w:ascii="Times New Roman" w:eastAsia="方正仿宋_GBK" w:cs="Times New Roman" w:hAnsi="Times New Roman"/>
          <w:sz w:val="84"/>
          <w:szCs w:val="84"/>
        </w:rPr>
        <w:sectPr>
          <w:pgSz w:w="11906" w:h="16838"/>
          <w:pgMar w:top="1440" w:right="1800" w:bottom="1440" w:left="1800" w:header="851" w:footer="992" w:gutter="0"/>
          <w:cols w:num="1" w:space="720"/>
          <w:docGrid w:type="lines" w:linePitch="312" w:charSpace="0"/>
        </w:sectPr>
      </w:pPr>
    </w:p>
    <w:tbl>
      <w:tblPr>
        <w:jc w:val="center"/>
        <w:tblW w:w="1389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686"/>
        <w:gridCol w:w="3260"/>
        <w:gridCol w:w="3827"/>
        <w:gridCol w:w="3119"/>
      </w:tblGrid>
      <w:tr>
        <w:trPr>
          <w:trHeight w:val="319"/>
        </w:trPr>
        <w:tc>
          <w:tcPr>
            <w:tcW w:w="10773" w:type="dxa"/>
            <w:gridSpan w:val="3"/>
            <w:tcBorders>
              <w:top w:val="nil"/>
              <w:left w:val="nil"/>
              <w:bottom w:val="nil"/>
              <w:right w:val="nil"/>
            </w:tcBorders>
            <w:shd w:val="clear" w:color="auto" w:fill="auto"/>
            <w:noWrap/>
            <w:vAlign w:val="center"/>
          </w:tcPr>
          <w:p>
            <w:pPr>
              <w:widowControl/>
              <w:jc w:val="left"/>
              <w:rPr>
                <w:rFonts w:ascii="Times New Roman" w:cs="Times New Roman" w:hAnsi="Times New Roman"/>
                <w:kern w:val="0"/>
                <w:sz w:val="24"/>
                <w:szCs w:val="24"/>
              </w:rPr>
            </w:pPr>
          </w:p>
        </w:tc>
        <w:tc>
          <w:tcPr>
            <w:tcW w:w="3119" w:type="dxa"/>
            <w:tcBorders>
              <w:top w:val="nil"/>
              <w:left w:val="nil"/>
              <w:bottom w:val="nil"/>
              <w:right w:val="nil"/>
            </w:tcBorders>
            <w:shd w:val="clear" w:color="auto" w:fill="auto"/>
            <w:noWrap/>
            <w:vAlign w:val="center"/>
          </w:tcPr>
          <w:p>
            <w:pPr>
              <w:widowControl/>
              <w:jc w:val="right"/>
              <w:rPr>
                <w:rFonts w:ascii="Times New Roman" w:eastAsia="黑体" w:cs="Times New Roman" w:hAnsi="Times New Roman"/>
                <w:color w:val="000000"/>
                <w:kern w:val="0"/>
                <w:sz w:val="20"/>
                <w:szCs w:val="20"/>
              </w:rPr>
            </w:pPr>
            <w:r>
              <w:rPr>
                <w:rFonts w:ascii="Times New Roman" w:eastAsia="黑体" w:cs="Times New Roman" w:hAnsi="Times New Roman"/>
                <w:color w:val="000000"/>
                <w:kern w:val="0"/>
                <w:sz w:val="20"/>
                <w:szCs w:val="20"/>
              </w:rPr>
              <w:t>部门公开表1</w:t>
            </w:r>
          </w:p>
        </w:tc>
      </w:tr>
      <w:tr>
        <w:trPr>
          <w:trHeight w:val="540"/>
        </w:trPr>
        <w:tc>
          <w:tcPr>
            <w:tcW w:w="13892" w:type="dxa"/>
            <w:gridSpan w:val="4"/>
            <w:tcBorders>
              <w:top w:val="nil"/>
              <w:left w:val="nil"/>
              <w:bottom w:val="nil"/>
              <w:right w:val="nil"/>
            </w:tcBorders>
            <w:shd w:val="clear" w:color="auto" w:fill="auto"/>
            <w:noWrap/>
            <w:vAlign w:val="center"/>
          </w:tcPr>
          <w:p>
            <w:pPr>
              <w:widowControl/>
              <w:jc w:val="center"/>
              <w:rPr>
                <w:rFonts w:ascii="Times New Roman" w:cs="Times New Roman" w:hAnsi="Times New Roman"/>
                <w:color w:val="000000"/>
                <w:kern w:val="0"/>
                <w:sz w:val="36"/>
                <w:szCs w:val="36"/>
              </w:rPr>
            </w:pPr>
            <w:r>
              <w:rPr>
                <w:rFonts w:ascii="Times New Roman" w:cs="Times New Roman" w:hAnsi="Times New Roman"/>
                <w:color w:val="000000"/>
                <w:kern w:val="0"/>
                <w:sz w:val="36"/>
                <w:szCs w:val="36"/>
              </w:rPr>
              <w:t>部门收支总表</w:t>
            </w:r>
          </w:p>
        </w:tc>
      </w:tr>
      <w:tr>
        <w:trPr>
          <w:trHeight w:val="360"/>
        </w:trPr>
        <w:tc>
          <w:tcPr>
            <w:tcW w:w="3686" w:type="dxa"/>
            <w:tcBorders>
              <w:top w:val="nil"/>
              <w:left w:val="nil"/>
              <w:bottom w:val="single" w:sz="4" w:space="0" w:color="auto"/>
              <w:right w:val="nil"/>
            </w:tcBorders>
            <w:shd w:val="clear" w:color="auto" w:fill="auto"/>
            <w:noWrap/>
            <w:vAlign w:val="center"/>
          </w:tcPr>
          <w:p>
            <w:pPr>
              <w:widowControl/>
              <w:jc w:val="left"/>
              <w:rPr>
                <w:rFonts w:ascii="Times New Roman" w:cs="Times New Roman" w:hAnsi="Times New Roman"/>
                <w:color w:val="000000"/>
                <w:kern w:val="0"/>
                <w:sz w:val="18"/>
                <w:szCs w:val="18"/>
              </w:rPr>
            </w:pPr>
            <w:r>
              <w:rPr>
                <w:rFonts w:ascii="Times New Roman" w:cs="Times New Roman" w:hAnsi="Times New Roman"/>
                <w:color w:val="000000"/>
                <w:kern w:val="0"/>
                <w:sz w:val="18"/>
                <w:szCs w:val="18"/>
              </w:rPr>
              <w:t>　</w:t>
            </w:r>
          </w:p>
        </w:tc>
        <w:tc>
          <w:tcPr>
            <w:tcW w:w="3260" w:type="dxa"/>
            <w:tcBorders>
              <w:top w:val="nil"/>
              <w:left w:val="nil"/>
              <w:bottom w:val="single" w:sz="4" w:space="0" w:color="auto"/>
              <w:right w:val="nil"/>
            </w:tcBorders>
            <w:shd w:val="clear" w:color="auto" w:fill="auto"/>
            <w:noWrap/>
            <w:vAlign w:val="center"/>
          </w:tcPr>
          <w:p>
            <w:pPr>
              <w:widowControl/>
              <w:jc w:val="left"/>
              <w:rPr>
                <w:rFonts w:ascii="Times New Roman" w:cs="Times New Roman" w:hAnsi="Times New Roman"/>
                <w:color w:val="000000"/>
                <w:kern w:val="0"/>
                <w:sz w:val="22"/>
              </w:rPr>
            </w:pPr>
            <w:r>
              <w:rPr>
                <w:rFonts w:ascii="Times New Roman" w:cs="Times New Roman" w:hAnsi="Times New Roman"/>
                <w:color w:val="000000"/>
                <w:kern w:val="0"/>
                <w:sz w:val="22"/>
              </w:rPr>
              <w:t>　</w:t>
            </w:r>
          </w:p>
        </w:tc>
        <w:tc>
          <w:tcPr>
            <w:tcW w:w="3827" w:type="dxa"/>
            <w:tcBorders>
              <w:top w:val="nil"/>
              <w:left w:val="nil"/>
              <w:bottom w:val="single" w:sz="4" w:space="0" w:color="auto"/>
              <w:right w:val="nil"/>
            </w:tcBorders>
            <w:shd w:val="clear" w:color="auto" w:fill="auto"/>
            <w:noWrap/>
            <w:vAlign w:val="center"/>
          </w:tcPr>
          <w:p>
            <w:pPr>
              <w:widowControl/>
              <w:jc w:val="left"/>
              <w:rPr>
                <w:rFonts w:ascii="Times New Roman" w:cs="Times New Roman" w:hAnsi="Times New Roman"/>
                <w:color w:val="000000"/>
                <w:kern w:val="0"/>
                <w:sz w:val="22"/>
              </w:rPr>
            </w:pPr>
            <w:r>
              <w:rPr>
                <w:rFonts w:ascii="Times New Roman" w:cs="Times New Roman" w:hAnsi="Times New Roman"/>
                <w:color w:val="000000"/>
                <w:kern w:val="0"/>
                <w:sz w:val="22"/>
              </w:rPr>
              <w:t>　</w:t>
            </w:r>
          </w:p>
        </w:tc>
        <w:tc>
          <w:tcPr>
            <w:tcW w:w="3119" w:type="dxa"/>
            <w:tcBorders>
              <w:top w:val="nil"/>
              <w:left w:val="nil"/>
              <w:bottom w:val="nil"/>
              <w:right w:val="nil"/>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单位：万元</w:t>
            </w:r>
          </w:p>
        </w:tc>
      </w:tr>
      <w:tr>
        <w:trPr>
          <w:trHeight w:val="360"/>
        </w:trPr>
        <w:tc>
          <w:tcPr>
            <w:tcW w:w="69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收      入</w:t>
            </w:r>
          </w:p>
        </w:tc>
        <w:tc>
          <w:tcPr>
            <w:tcW w:w="6946" w:type="dxa"/>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支      出</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项    目</w:t>
            </w:r>
          </w:p>
        </w:tc>
        <w:tc>
          <w:tcPr>
            <w:tcW w:w="3260"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预算数</w:t>
            </w:r>
          </w:p>
        </w:tc>
        <w:tc>
          <w:tcPr>
            <w:tcW w:w="3827"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项    目</w:t>
            </w:r>
          </w:p>
        </w:tc>
        <w:tc>
          <w:tcPr>
            <w:tcW w:w="3119"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预算数</w:t>
            </w:r>
          </w:p>
        </w:tc>
      </w:tr>
      <w:tr>
        <w:trPr>
          <w:trHeight w:val="359"/>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一、一般公共预算拨款收入</w:t>
            </w:r>
          </w:p>
        </w:tc>
        <w:tc>
          <w:tcPr>
            <w:tcW w:w="3260" w:type="dxa"/>
            <w:tcBorders>
              <w:top w:val="single" w:sz="4" w:space="0" w:color="000000"/>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r>
              <w:rPr>
                <w:rFonts w:ascii="Times New Roman" w:cs="Times New Roman" w:hAnsi="Times New Roman"/>
              </w:rPr>
              <w:t>2818.12</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一、一般公共服务支出</w:t>
            </w:r>
          </w:p>
        </w:tc>
        <w:tc>
          <w:tcPr>
            <w:tcW w:w="3119" w:type="dxa"/>
            <w:tcBorders>
              <w:top w:val="single" w:sz="4" w:space="0" w:color="000000"/>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r>
              <w:rPr>
                <w:rFonts w:ascii="Times New Roman" w:cs="Times New Roman" w:hAnsi="Times New Roman"/>
              </w:rPr>
              <w:t>3048.77</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二、政府性基金预算拨款收入</w:t>
            </w:r>
          </w:p>
        </w:tc>
        <w:tc>
          <w:tcPr>
            <w:tcW w:w="3260"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p>
        </w:tc>
        <w:tc>
          <w:tcPr>
            <w:tcW w:w="3827" w:type="dxa"/>
            <w:tcBorders>
              <w:top w:val="nil"/>
              <w:left w:val="nil"/>
              <w:bottom w:val="single" w:sz="4" w:space="0" w:color="auto"/>
              <w:right w:val="single" w:sz="4" w:space="0" w:color="auto"/>
            </w:tcBorders>
            <w:shd w:val="clear" w:color="auto" w:fill="auto"/>
            <w:noWrap/>
            <w:vAlign w:val="center"/>
          </w:tcPr>
          <w:p>
            <w:pPr>
              <w:pStyle w:val="44"/>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二、公共安全支出</w:t>
            </w:r>
          </w:p>
        </w:tc>
        <w:tc>
          <w:tcPr>
            <w:tcW w:w="3119"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r>
              <w:rPr>
                <w:rFonts w:ascii="Times New Roman" w:cs="Times New Roman" w:hAnsi="Times New Roman"/>
              </w:rPr>
              <w:t>597.60</w:t>
            </w:r>
          </w:p>
        </w:tc>
      </w:tr>
      <w:tr>
        <w:trPr>
          <w:trHeight w:val="297"/>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三、国有资本经营预算拨款收入</w:t>
            </w:r>
          </w:p>
        </w:tc>
        <w:tc>
          <w:tcPr>
            <w:tcW w:w="3260"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p>
        </w:tc>
        <w:tc>
          <w:tcPr>
            <w:tcW w:w="3827" w:type="dxa"/>
            <w:tcBorders>
              <w:top w:val="nil"/>
              <w:left w:val="nil"/>
              <w:bottom w:val="single" w:sz="4" w:space="0" w:color="auto"/>
              <w:right w:val="single" w:sz="4" w:space="0" w:color="auto"/>
            </w:tcBorders>
            <w:shd w:val="clear" w:color="auto" w:fill="auto"/>
            <w:noWrap/>
            <w:vAlign w:val="center"/>
          </w:tcPr>
          <w:p>
            <w:pPr>
              <w:pStyle w:val="49"/>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三、社会保障和就业支出</w:t>
            </w:r>
          </w:p>
        </w:tc>
        <w:tc>
          <w:tcPr>
            <w:tcW w:w="3119"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r>
              <w:rPr>
                <w:rFonts w:ascii="Times New Roman" w:cs="Times New Roman" w:hAnsi="Times New Roman"/>
              </w:rPr>
              <w:t>381.09</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四、事业收入</w:t>
            </w:r>
          </w:p>
        </w:tc>
        <w:tc>
          <w:tcPr>
            <w:tcW w:w="3260"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p>
        </w:tc>
        <w:tc>
          <w:tcPr>
            <w:tcW w:w="3827" w:type="dxa"/>
            <w:tcBorders>
              <w:top w:val="nil"/>
              <w:left w:val="nil"/>
              <w:bottom w:val="single" w:sz="4" w:space="0" w:color="auto"/>
              <w:right w:val="single" w:sz="4" w:space="0" w:color="auto"/>
            </w:tcBorders>
            <w:shd w:val="clear" w:color="auto" w:fill="auto"/>
            <w:noWrap/>
            <w:vAlign w:val="center"/>
          </w:tcPr>
          <w:p>
            <w:pPr>
              <w:pStyle w:val="50"/>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四、卫生健康支出</w:t>
            </w:r>
          </w:p>
        </w:tc>
        <w:tc>
          <w:tcPr>
            <w:tcW w:w="3119"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r>
              <w:rPr>
                <w:rFonts w:ascii="Times New Roman" w:cs="Times New Roman" w:hAnsi="Times New Roman"/>
              </w:rPr>
              <w:t>222.67</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五、事业单位经营收入</w:t>
            </w:r>
          </w:p>
        </w:tc>
        <w:tc>
          <w:tcPr>
            <w:tcW w:w="3260"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p>
        </w:tc>
        <w:tc>
          <w:tcPr>
            <w:tcW w:w="3827" w:type="dxa"/>
            <w:tcBorders>
              <w:top w:val="nil"/>
              <w:left w:val="nil"/>
              <w:bottom w:val="single" w:sz="4" w:space="0" w:color="auto"/>
              <w:right w:val="single" w:sz="4" w:space="0" w:color="auto"/>
            </w:tcBorders>
            <w:shd w:val="clear" w:color="auto" w:fill="auto"/>
            <w:noWrap/>
            <w:vAlign w:val="center"/>
          </w:tcPr>
          <w:p>
            <w:pPr>
              <w:pStyle w:val="51"/>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五、住房保障支出</w:t>
            </w:r>
          </w:p>
        </w:tc>
        <w:tc>
          <w:tcPr>
            <w:tcW w:w="3119"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r>
              <w:rPr>
                <w:rFonts w:ascii="Times New Roman" w:cs="Times New Roman" w:hAnsi="Times New Roman"/>
              </w:rPr>
              <w:t>1168.00</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六、其他收入</w:t>
            </w:r>
          </w:p>
        </w:tc>
        <w:tc>
          <w:tcPr>
            <w:tcW w:w="3260"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r>
              <w:rPr>
                <w:rFonts w:ascii="Times New Roman" w:cs="Times New Roman" w:hAnsi="Times New Roman"/>
              </w:rPr>
              <w:t>2437.3</w:t>
            </w:r>
          </w:p>
        </w:tc>
        <w:tc>
          <w:tcPr>
            <w:tcW w:w="3827" w:type="dxa"/>
            <w:tcBorders>
              <w:top w:val="nil"/>
              <w:left w:val="nil"/>
              <w:bottom w:val="single" w:sz="4" w:space="0" w:color="auto"/>
              <w:right w:val="single" w:sz="4" w:space="0" w:color="auto"/>
            </w:tcBorders>
            <w:shd w:val="clear" w:color="auto" w:fill="auto"/>
            <w:noWrap/>
            <w:vAlign w:val="center"/>
          </w:tcPr>
          <w:p>
            <w:pPr>
              <w:pStyle w:val="48"/>
              <w:widowControl/>
              <w:jc w:val="left"/>
              <w:rPr>
                <w:rFonts w:ascii="Times New Roman" w:cs="Times New Roman" w:hAnsi="Times New Roman"/>
                <w:color w:val="000000"/>
                <w:kern w:val="0"/>
                <w:sz w:val="20"/>
                <w:szCs w:val="20"/>
              </w:rPr>
            </w:pPr>
          </w:p>
        </w:tc>
        <w:tc>
          <w:tcPr>
            <w:tcW w:w="3119"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260"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p>
        </w:tc>
        <w:tc>
          <w:tcPr>
            <w:tcW w:w="3119"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260"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119"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本年收入合计</w:t>
            </w:r>
          </w:p>
        </w:tc>
        <w:tc>
          <w:tcPr>
            <w:tcW w:w="3260"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r>
              <w:rPr>
                <w:rFonts w:ascii="Times New Roman" w:cs="Times New Roman" w:hAnsi="Times New Roman" w:hint="eastAsia"/>
              </w:rPr>
              <w:t>5255.42</w:t>
            </w:r>
          </w:p>
        </w:tc>
        <w:tc>
          <w:tcPr>
            <w:tcW w:w="382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本年支出合计</w:t>
            </w:r>
          </w:p>
        </w:tc>
        <w:tc>
          <w:tcPr>
            <w:tcW w:w="3119"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r>
              <w:rPr>
                <w:rFonts w:ascii="Times New Roman" w:cs="Times New Roman" w:hAnsi="Times New Roman" w:hint="eastAsia"/>
              </w:rPr>
              <w:t>5418.13</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使用非财政拨款结余</w:t>
            </w:r>
          </w:p>
        </w:tc>
        <w:tc>
          <w:tcPr>
            <w:tcW w:w="3260"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结转下年（非财政拨款）</w:t>
            </w:r>
          </w:p>
        </w:tc>
        <w:tc>
          <w:tcPr>
            <w:tcW w:w="3119"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上年结转</w:t>
            </w:r>
          </w:p>
        </w:tc>
        <w:tc>
          <w:tcPr>
            <w:tcW w:w="3260"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r>
              <w:rPr>
                <w:rFonts w:ascii="Times New Roman" w:cs="Times New Roman" w:hAnsi="Times New Roman" w:hint="eastAsia"/>
              </w:rPr>
              <w:t>162.71</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119"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收    入    总    计</w:t>
            </w:r>
          </w:p>
        </w:tc>
        <w:tc>
          <w:tcPr>
            <w:tcW w:w="3260"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r>
              <w:rPr>
                <w:rFonts w:ascii="Times New Roman" w:cs="Times New Roman" w:hAnsi="Times New Roman"/>
              </w:rPr>
              <w:t>5418.13</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支    出    总    计</w:t>
            </w:r>
          </w:p>
        </w:tc>
        <w:tc>
          <w:tcPr>
            <w:tcW w:w="3119" w:type="dxa"/>
            <w:tcBorders>
              <w:top w:val="nil"/>
              <w:left w:val="single" w:sz="4" w:space="0" w:color="000000"/>
              <w:bottom w:val="single" w:sz="4" w:space="0" w:color="000000"/>
              <w:right w:val="single" w:sz="4" w:space="0" w:color="000000"/>
            </w:tcBorders>
            <w:shd w:val="clear" w:color="auto" w:fill="auto"/>
            <w:noWrap/>
          </w:tcPr>
          <w:p>
            <w:pPr>
              <w:rPr>
                <w:rFonts w:ascii="Times New Roman" w:cs="Times New Roman" w:hAnsi="Times New Roman"/>
              </w:rPr>
            </w:pPr>
            <w:r>
              <w:rPr>
                <w:rFonts w:ascii="Times New Roman" w:cs="Times New Roman" w:hAnsi="Times New Roman"/>
              </w:rPr>
              <w:t>5418.13</w:t>
            </w:r>
          </w:p>
        </w:tc>
      </w:tr>
    </w:tbl>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center"/>
        <w:rPr>
          <w:rFonts w:ascii="Times New Roman" w:eastAsia="方正仿宋_GBK" w:cs="Times New Roman" w:hAnsi="Times New Roman"/>
          <w:sz w:val="32"/>
          <w:szCs w:val="32"/>
        </w:rPr>
      </w:pPr>
    </w:p>
    <w:p>
      <w:pPr>
        <w:jc w:val="center"/>
        <w:rPr>
          <w:rFonts w:ascii="Times New Roman" w:eastAsia="方正仿宋_GBK" w:cs="Times New Roman" w:hAnsi="Times New Roman"/>
          <w:sz w:val="32"/>
          <w:szCs w:val="32"/>
        </w:rPr>
      </w:pPr>
      <w:r>
        <w:drawing>
          <wp:inline distT="0" distB="0" distL="0" distR="0">
            <wp:extent cx="8796655" cy="1800225"/>
            <wp:effectExtent l="0" t="0" r="0" b="0"/>
            <wp:docPr id="4" name="图片 4"/>
            <wp:cNvGraphicFramePr>
              <a:graphicFrameLocks noChangeAspect="1"/>
            </wp:cNvGraphicFramePr>
            <a:graphic>
              <a:graphicData uri="http://schemas.openxmlformats.org/drawingml/2006/picture">
                <pic:pic>
                  <pic:nvPicPr>
                    <pic:cNvPr id="6" name="图片 4 6"/>
                    <pic:cNvPicPr/>
                  </pic:nvPicPr>
                  <pic:blipFill>
                    <a:blip r:embed="rId3"/>
                    <a:stretch>
                      <a:fillRect/>
                    </a:stretch>
                  </pic:blipFill>
                  <pic:spPr>
                    <a:xfrm rot="0">
                      <a:off x="0" y="0"/>
                      <a:ext cx="8796655" cy="1800225"/>
                    </a:xfrm>
                    <a:prstGeom prst="rect"/>
                    <a:noFill/>
                    <a:ln w="9525" cmpd="sng" cap="flat">
                      <a:noFill/>
                      <a:prstDash val="solid"/>
                      <a:round/>
                    </a:ln>
                  </pic:spPr>
                </pic:pic>
              </a:graphicData>
            </a:graphic>
          </wp:inline>
        </w:drawing>
      </w:r>
    </w:p>
    <w:p>
      <w:pPr>
        <w:jc w:val="center"/>
        <w:rPr>
          <w:rFonts w:ascii="Times New Roman" w:eastAsia="方正仿宋_GBK" w:cs="Times New Roman" w:hAnsi="Times New Roman"/>
          <w:sz w:val="32"/>
          <w:szCs w:val="32"/>
        </w:rPr>
      </w:pPr>
    </w:p>
    <w:p>
      <w:pPr>
        <w:jc w:val="center"/>
        <w:rPr>
          <w:rFonts w:ascii="Times New Roman" w:eastAsia="方正仿宋_GBK" w:cs="Times New Roman" w:hAnsi="Times New Roman"/>
          <w:sz w:val="32"/>
          <w:szCs w:val="32"/>
        </w:rPr>
      </w:pPr>
    </w:p>
    <w:p>
      <w:pPr>
        <w:jc w:val="center"/>
        <w:rPr>
          <w:rFonts w:ascii="Times New Roman" w:eastAsia="方正仿宋_GBK" w:cs="Times New Roman" w:hAnsi="Times New Roman"/>
          <w:sz w:val="32"/>
          <w:szCs w:val="32"/>
        </w:rPr>
      </w:pPr>
    </w:p>
    <w:p>
      <w:pPr>
        <w:jc w:val="center"/>
        <w:rPr>
          <w:rFonts w:ascii="Times New Roman" w:cs="Times New Roman" w:hAnsi="Times New Roman"/>
        </w:rPr>
      </w:pPr>
    </w:p>
    <w:p>
      <w:pPr>
        <w:jc w:val="center"/>
        <w:rPr>
          <w:rFonts w:ascii="Times New Roman" w:cs="Times New Roman" w:hAnsi="Times New Roman"/>
        </w:rPr>
      </w:pPr>
    </w:p>
    <w:p>
      <w:pPr>
        <w:jc w:val="center"/>
        <w:rPr>
          <w:rFonts w:ascii="Times New Roman" w:cs="Times New Roman" w:hAnsi="Times New Roman"/>
        </w:rPr>
      </w:pPr>
    </w:p>
    <w:p>
      <w:pPr>
        <w:jc w:val="center"/>
        <w:rPr>
          <w:rFonts w:ascii="Times New Roman" w:cs="Times New Roman" w:hAnsi="Times New Roman"/>
        </w:rPr>
      </w:pPr>
    </w:p>
    <w:p>
      <w:pPr>
        <w:jc w:val="center"/>
        <w:rPr>
          <w:rFonts w:ascii="Times New Roman" w:cs="Times New Roman" w:hAnsi="Times New Roman"/>
        </w:rPr>
      </w:pPr>
    </w:p>
    <w:p>
      <w:pPr>
        <w:jc w:val="center"/>
        <w:rPr>
          <w:rFonts w:ascii="Times New Roman" w:cs="Times New Roman" w:hAnsi="Times New Roman"/>
        </w:rPr>
      </w:pPr>
    </w:p>
    <w:p>
      <w:pPr>
        <w:jc w:val="center"/>
        <w:rPr>
          <w:rFonts w:ascii="Times New Roman" w:cs="Times New Roman" w:hAnsi="Times New Roman"/>
        </w:rPr>
      </w:pPr>
    </w:p>
    <w:p>
      <w:pPr>
        <w:jc w:val="center"/>
        <w:rPr>
          <w:rFonts w:ascii="Times New Roman" w:cs="Times New Roman" w:hAnsi="Times New Roman"/>
        </w:rPr>
      </w:pPr>
    </w:p>
    <w:p>
      <w:pPr>
        <w:jc w:val="center"/>
        <w:rPr>
          <w:rFonts w:ascii="Times New Roman" w:cs="Times New Roman" w:hAnsi="Times New Roman"/>
        </w:rPr>
      </w:pPr>
    </w:p>
    <w:p>
      <w:pPr>
        <w:jc w:val="center"/>
        <w:rPr>
          <w:rFonts w:ascii="Times New Roman" w:cs="Times New Roman" w:hAnsi="Times New Roman"/>
        </w:rPr>
      </w:pPr>
    </w:p>
    <w:p>
      <w:pPr>
        <w:jc w:val="center"/>
        <w:rPr>
          <w:rFonts w:ascii="Times New Roman" w:cs="Times New Roman" w:hAnsi="Times New Roman"/>
        </w:rPr>
      </w:pPr>
      <w:r>
        <w:drawing>
          <wp:inline distT="0" distB="0" distL="0" distR="0">
            <wp:extent cx="8862563" cy="5133975"/>
            <wp:effectExtent l="0" t="0" r="0" b="0"/>
            <wp:docPr id="7" name="图片 7"/>
            <wp:cNvGraphicFramePr>
              <a:graphicFrameLocks noChangeAspect="1"/>
            </wp:cNvGraphicFramePr>
            <a:graphic>
              <a:graphicData uri="http://schemas.openxmlformats.org/drawingml/2006/picture">
                <pic:pic>
                  <pic:nvPicPr>
                    <pic:cNvPr id="9" name="图片 7 9"/>
                    <pic:cNvPicPr/>
                  </pic:nvPicPr>
                  <pic:blipFill>
                    <a:blip r:embed="rId4"/>
                    <a:stretch>
                      <a:fillRect/>
                    </a:stretch>
                  </pic:blipFill>
                  <pic:spPr>
                    <a:xfrm rot="0">
                      <a:off x="0" y="0"/>
                      <a:ext cx="8862563" cy="5133975"/>
                    </a:xfrm>
                    <a:prstGeom prst="rect"/>
                    <a:noFill/>
                    <a:ln w="9525" cmpd="sng" cap="flat">
                      <a:noFill/>
                      <a:prstDash val="solid"/>
                      <a:round/>
                    </a:ln>
                  </pic:spPr>
                </pic:pic>
              </a:graphicData>
            </a:graphic>
          </wp:inline>
        </w:drawing>
      </w:r>
    </w:p>
    <w:p>
      <w:pPr>
        <w:jc w:val="center"/>
        <w:rPr>
          <w:rFonts w:ascii="Times New Roman" w:cs="Times New Roman" w:hAnsi="Times New Roman"/>
        </w:rPr>
      </w:pPr>
    </w:p>
    <w:p>
      <w:pPr>
        <w:jc w:val="center"/>
        <w:rPr>
          <w:rFonts w:ascii="Times New Roman" w:cs="Times New Roman" w:hAnsi="Times New Roman"/>
        </w:rPr>
      </w:pPr>
    </w:p>
    <w:p>
      <w:pPr>
        <w:jc w:val="center"/>
        <w:rPr>
          <w:rFonts w:ascii="Times New Roman" w:cs="Times New Roman" w:hAnsi="Times New Roman"/>
        </w:rPr>
      </w:pPr>
    </w:p>
    <w:tbl>
      <w:tblPr>
        <w:jc w:val="center"/>
        <w:tblW w:w="1389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253"/>
        <w:gridCol w:w="2693"/>
        <w:gridCol w:w="4253"/>
        <w:gridCol w:w="2693"/>
      </w:tblGrid>
      <w:tr>
        <w:trPr>
          <w:trHeight w:val="319"/>
        </w:trPr>
        <w:tc>
          <w:tcPr>
            <w:tcW w:w="11199" w:type="dxa"/>
            <w:gridSpan w:val="3"/>
            <w:tcBorders>
              <w:top w:val="nil"/>
              <w:left w:val="nil"/>
              <w:bottom w:val="nil"/>
              <w:right w:val="nil"/>
            </w:tcBorders>
            <w:shd w:val="clear" w:color="auto" w:fill="auto"/>
            <w:noWrap/>
            <w:vAlign w:val="center"/>
          </w:tcPr>
          <w:p>
            <w:pPr>
              <w:widowControl/>
              <w:jc w:val="left"/>
              <w:rPr>
                <w:rFonts w:ascii="Times New Roman" w:cs="Times New Roman" w:hAnsi="Times New Roman"/>
                <w:kern w:val="0"/>
                <w:sz w:val="24"/>
                <w:szCs w:val="24"/>
              </w:rPr>
            </w:pPr>
          </w:p>
        </w:tc>
        <w:tc>
          <w:tcPr>
            <w:tcW w:w="2693" w:type="dxa"/>
            <w:tcBorders>
              <w:top w:val="nil"/>
              <w:left w:val="nil"/>
              <w:bottom w:val="nil"/>
              <w:right w:val="nil"/>
            </w:tcBorders>
            <w:shd w:val="clear" w:color="auto" w:fill="auto"/>
            <w:noWrap/>
            <w:vAlign w:val="center"/>
          </w:tcPr>
          <w:p>
            <w:pPr>
              <w:widowControl/>
              <w:jc w:val="right"/>
              <w:rPr>
                <w:rFonts w:ascii="Times New Roman" w:eastAsia="黑体" w:cs="Times New Roman" w:hAnsi="Times New Roman"/>
                <w:color w:val="000000"/>
                <w:kern w:val="0"/>
                <w:sz w:val="20"/>
                <w:szCs w:val="20"/>
              </w:rPr>
            </w:pPr>
            <w:r>
              <w:rPr>
                <w:rFonts w:ascii="Times New Roman" w:eastAsia="黑体" w:cs="Times New Roman" w:hAnsi="Times New Roman"/>
                <w:color w:val="000000"/>
                <w:kern w:val="0"/>
                <w:sz w:val="20"/>
                <w:szCs w:val="20"/>
              </w:rPr>
              <w:t>部门公开表4</w:t>
            </w:r>
          </w:p>
        </w:tc>
      </w:tr>
      <w:tr>
        <w:trPr>
          <w:trHeight w:val="540"/>
        </w:trPr>
        <w:tc>
          <w:tcPr>
            <w:tcW w:w="13892" w:type="dxa"/>
            <w:gridSpan w:val="4"/>
            <w:tcBorders>
              <w:top w:val="nil"/>
              <w:left w:val="nil"/>
              <w:bottom w:val="nil"/>
              <w:right w:val="nil"/>
            </w:tcBorders>
            <w:shd w:val="clear" w:color="auto" w:fill="auto"/>
            <w:noWrap/>
            <w:vAlign w:val="center"/>
          </w:tcPr>
          <w:p>
            <w:pPr>
              <w:widowControl/>
              <w:jc w:val="center"/>
              <w:rPr>
                <w:rFonts w:ascii="Times New Roman" w:cs="Times New Roman" w:hAnsi="Times New Roman"/>
                <w:color w:val="000000"/>
                <w:kern w:val="0"/>
                <w:sz w:val="36"/>
                <w:szCs w:val="36"/>
              </w:rPr>
            </w:pPr>
            <w:r>
              <w:rPr>
                <w:rFonts w:ascii="Times New Roman" w:cs="Times New Roman" w:hAnsi="Times New Roman"/>
                <w:color w:val="000000"/>
                <w:kern w:val="0"/>
                <w:sz w:val="36"/>
                <w:szCs w:val="36"/>
              </w:rPr>
              <w:t>财政拨款收支总表</w:t>
            </w:r>
          </w:p>
        </w:tc>
      </w:tr>
      <w:tr>
        <w:trPr>
          <w:trHeight w:val="360"/>
        </w:trPr>
        <w:tc>
          <w:tcPr>
            <w:tcW w:w="4253" w:type="dxa"/>
            <w:tcBorders>
              <w:top w:val="nil"/>
              <w:left w:val="nil"/>
              <w:bottom w:val="single" w:sz="4" w:space="0" w:color="auto"/>
              <w:right w:val="nil"/>
            </w:tcBorders>
            <w:shd w:val="clear" w:color="auto" w:fill="auto"/>
            <w:noWrap/>
            <w:vAlign w:val="center"/>
          </w:tcPr>
          <w:p>
            <w:pPr>
              <w:widowControl/>
              <w:jc w:val="left"/>
              <w:rPr>
                <w:rFonts w:ascii="Times New Roman" w:cs="Times New Roman" w:hAnsi="Times New Roman"/>
                <w:color w:val="000000"/>
                <w:kern w:val="0"/>
                <w:sz w:val="18"/>
                <w:szCs w:val="18"/>
              </w:rPr>
            </w:pPr>
            <w:r>
              <w:rPr>
                <w:rFonts w:ascii="Times New Roman" w:cs="Times New Roman" w:hAnsi="Times New Roman"/>
                <w:color w:val="000000"/>
                <w:kern w:val="0"/>
                <w:sz w:val="18"/>
                <w:szCs w:val="18"/>
              </w:rPr>
              <w:t>　</w:t>
            </w:r>
          </w:p>
        </w:tc>
        <w:tc>
          <w:tcPr>
            <w:tcW w:w="2693" w:type="dxa"/>
            <w:tcBorders>
              <w:top w:val="nil"/>
              <w:left w:val="nil"/>
              <w:bottom w:val="single" w:sz="4" w:space="0" w:color="auto"/>
              <w:right w:val="nil"/>
            </w:tcBorders>
            <w:shd w:val="clear" w:color="auto" w:fill="auto"/>
            <w:noWrap/>
            <w:vAlign w:val="center"/>
          </w:tcPr>
          <w:p>
            <w:pPr>
              <w:widowControl/>
              <w:jc w:val="left"/>
              <w:rPr>
                <w:rFonts w:ascii="Times New Roman" w:cs="Times New Roman" w:hAnsi="Times New Roman"/>
                <w:color w:val="000000"/>
                <w:kern w:val="0"/>
                <w:sz w:val="22"/>
              </w:rPr>
            </w:pPr>
            <w:r>
              <w:rPr>
                <w:rFonts w:ascii="Times New Roman" w:cs="Times New Roman" w:hAnsi="Times New Roman"/>
                <w:color w:val="000000"/>
                <w:kern w:val="0"/>
                <w:sz w:val="22"/>
              </w:rPr>
              <w:t>　</w:t>
            </w:r>
          </w:p>
        </w:tc>
        <w:tc>
          <w:tcPr>
            <w:tcW w:w="4253" w:type="dxa"/>
            <w:tcBorders>
              <w:top w:val="nil"/>
              <w:left w:val="nil"/>
              <w:bottom w:val="single" w:sz="4" w:space="0" w:color="auto"/>
              <w:right w:val="nil"/>
            </w:tcBorders>
            <w:shd w:val="clear" w:color="auto" w:fill="auto"/>
            <w:noWrap/>
            <w:vAlign w:val="center"/>
          </w:tcPr>
          <w:p>
            <w:pPr>
              <w:widowControl/>
              <w:jc w:val="left"/>
              <w:rPr>
                <w:rFonts w:ascii="Times New Roman" w:cs="Times New Roman" w:hAnsi="Times New Roman"/>
                <w:color w:val="000000"/>
                <w:kern w:val="0"/>
                <w:sz w:val="22"/>
              </w:rPr>
            </w:pPr>
            <w:r>
              <w:rPr>
                <w:rFonts w:ascii="Times New Roman" w:cs="Times New Roman" w:hAnsi="Times New Roman"/>
                <w:color w:val="000000"/>
                <w:kern w:val="0"/>
                <w:sz w:val="22"/>
              </w:rPr>
              <w:t>　</w:t>
            </w:r>
          </w:p>
        </w:tc>
        <w:tc>
          <w:tcPr>
            <w:tcW w:w="2693" w:type="dxa"/>
            <w:tcBorders>
              <w:top w:val="nil"/>
              <w:left w:val="nil"/>
              <w:bottom w:val="nil"/>
              <w:right w:val="nil"/>
            </w:tcBorders>
            <w:shd w:val="clear" w:color="auto" w:fill="auto"/>
            <w:noWrap/>
            <w:vAlign w:val="center"/>
          </w:tcPr>
          <w:p>
            <w:pPr>
              <w:widowControl/>
              <w:jc w:val="right"/>
              <w:rPr>
                <w:rFonts w:ascii="Times New Roman" w:cs="Times New Roman" w:hAnsi="Times New Roman"/>
                <w:color w:val="000000"/>
                <w:kern w:val="0"/>
                <w:sz w:val="18"/>
                <w:szCs w:val="18"/>
              </w:rPr>
            </w:pPr>
            <w:r>
              <w:rPr>
                <w:rFonts w:ascii="Times New Roman" w:cs="Times New Roman" w:hAnsi="Times New Roman"/>
                <w:color w:val="000000"/>
                <w:kern w:val="0"/>
                <w:sz w:val="18"/>
                <w:szCs w:val="18"/>
              </w:rPr>
              <w:t>单位：万元</w:t>
            </w:r>
          </w:p>
        </w:tc>
      </w:tr>
      <w:tr>
        <w:trPr>
          <w:trHeight w:val="360"/>
        </w:trPr>
        <w:tc>
          <w:tcPr>
            <w:tcW w:w="69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4"/>
                <w:szCs w:val="24"/>
              </w:rPr>
            </w:pPr>
            <w:r>
              <w:rPr>
                <w:rFonts w:ascii="Times New Roman" w:cs="Times New Roman" w:hAnsi="Times New Roman"/>
                <w:color w:val="000000"/>
                <w:kern w:val="0"/>
                <w:sz w:val="24"/>
                <w:szCs w:val="24"/>
              </w:rPr>
              <w:t>收      入</w:t>
            </w:r>
          </w:p>
        </w:tc>
        <w:tc>
          <w:tcPr>
            <w:tcW w:w="6946" w:type="dxa"/>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4"/>
                <w:szCs w:val="24"/>
              </w:rPr>
            </w:pPr>
            <w:r>
              <w:rPr>
                <w:rFonts w:ascii="Times New Roman" w:cs="Times New Roman" w:hAnsi="Times New Roman"/>
                <w:color w:val="000000"/>
                <w:kern w:val="0"/>
                <w:sz w:val="24"/>
                <w:szCs w:val="24"/>
              </w:rPr>
              <w:t>支      出</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4"/>
                <w:szCs w:val="24"/>
              </w:rPr>
            </w:pPr>
            <w:r>
              <w:rPr>
                <w:rFonts w:ascii="Times New Roman" w:cs="Times New Roman" w:hAnsi="Times New Roman"/>
                <w:color w:val="000000"/>
                <w:kern w:val="0"/>
                <w:sz w:val="24"/>
                <w:szCs w:val="24"/>
              </w:rPr>
              <w:t>项目</w:t>
            </w:r>
          </w:p>
        </w:tc>
        <w:tc>
          <w:tcPr>
            <w:tcW w:w="2693"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4"/>
                <w:szCs w:val="24"/>
              </w:rPr>
            </w:pPr>
            <w:r>
              <w:rPr>
                <w:rFonts w:ascii="Times New Roman" w:cs="Times New Roman" w:hAnsi="Times New Roman"/>
                <w:color w:val="000000"/>
                <w:kern w:val="0"/>
                <w:sz w:val="24"/>
                <w:szCs w:val="24"/>
              </w:rPr>
              <w:t>预算数</w:t>
            </w:r>
          </w:p>
        </w:tc>
        <w:tc>
          <w:tcPr>
            <w:tcW w:w="4253"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4"/>
                <w:szCs w:val="24"/>
              </w:rPr>
            </w:pPr>
            <w:r>
              <w:rPr>
                <w:rFonts w:ascii="Times New Roman" w:cs="Times New Roman" w:hAnsi="Times New Roman"/>
                <w:color w:val="000000"/>
                <w:kern w:val="0"/>
                <w:sz w:val="24"/>
                <w:szCs w:val="24"/>
              </w:rPr>
              <w:t>项目</w:t>
            </w:r>
          </w:p>
        </w:tc>
        <w:tc>
          <w:tcPr>
            <w:tcW w:w="2693"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4"/>
                <w:szCs w:val="24"/>
              </w:rPr>
            </w:pPr>
            <w:r>
              <w:rPr>
                <w:rFonts w:ascii="Times New Roman" w:cs="Times New Roman" w:hAnsi="Times New Roman"/>
                <w:color w:val="000000"/>
                <w:kern w:val="0"/>
                <w:sz w:val="24"/>
                <w:szCs w:val="24"/>
              </w:rPr>
              <w:t>预算数</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4"/>
                <w:szCs w:val="24"/>
              </w:rPr>
            </w:pPr>
            <w:r>
              <w:rPr>
                <w:rFonts w:ascii="Times New Roman" w:cs="Times New Roman" w:hAnsi="Times New Roman"/>
                <w:color w:val="000000"/>
                <w:kern w:val="0"/>
                <w:sz w:val="24"/>
                <w:szCs w:val="24"/>
              </w:rPr>
              <w:t>一、本年收入</w:t>
            </w:r>
          </w:p>
        </w:tc>
        <w:tc>
          <w:tcPr>
            <w:tcW w:w="2693" w:type="dxa"/>
            <w:tcBorders>
              <w:top w:val="nil"/>
              <w:left w:val="nil"/>
              <w:bottom w:val="single" w:sz="4" w:space="0" w:color="auto"/>
              <w:right w:val="single" w:sz="4" w:space="0" w:color="auto"/>
            </w:tcBorders>
            <w:shd w:val="clear" w:color="auto" w:fill="auto"/>
            <w:noWrap/>
          </w:tcPr>
          <w:p>
            <w:pPr>
              <w:rPr>
                <w:rFonts w:ascii="Times New Roman" w:cs="Times New Roman" w:hAnsi="Times New Roman"/>
              </w:rPr>
            </w:pPr>
            <w:r>
              <w:rPr>
                <w:rFonts w:ascii="Times New Roman" w:cs="Times New Roman" w:hAnsi="Times New Roman"/>
              </w:rPr>
              <w:t>2818.12</w:t>
            </w:r>
          </w:p>
        </w:tc>
        <w:tc>
          <w:tcPr>
            <w:tcW w:w="42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rPr>
                <w:rFonts w:ascii="Times New Roman" w:cs="Times New Roman" w:hAnsi="Times New Roman"/>
                <w:color w:val="000000"/>
                <w:kern w:val="0"/>
                <w:sz w:val="18"/>
                <w:szCs w:val="18"/>
              </w:rPr>
            </w:pPr>
            <w:r>
              <w:rPr>
                <w:rFonts w:ascii="Times New Roman" w:cs="Times New Roman" w:hAnsi="Times New Roman"/>
                <w:color w:val="000000"/>
                <w:sz w:val="18"/>
                <w:szCs w:val="18"/>
              </w:rPr>
              <w:t>一、本年支出</w:t>
            </w:r>
          </w:p>
        </w:tc>
        <w:tc>
          <w:tcPr>
            <w:tcW w:w="26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rPr>
                <w:rFonts w:ascii="宋体" w:cs="宋体"/>
                <w:color w:val="000000"/>
                <w:kern w:val="0"/>
                <w:sz w:val="18"/>
                <w:szCs w:val="18"/>
              </w:rPr>
            </w:pPr>
            <w:r>
              <w:rPr>
                <w:rFonts w:hint="eastAsia"/>
                <w:color w:val="000000"/>
                <w:sz w:val="18"/>
                <w:szCs w:val="18"/>
              </w:rPr>
              <w:t>2,818.13</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4"/>
                <w:szCs w:val="24"/>
              </w:rPr>
            </w:pPr>
            <w:r>
              <w:rPr>
                <w:rFonts w:ascii="Times New Roman" w:cs="Times New Roman" w:hAnsi="Times New Roman"/>
                <w:color w:val="000000"/>
                <w:kern w:val="0"/>
                <w:sz w:val="24"/>
                <w:szCs w:val="24"/>
              </w:rPr>
              <w:t>（一）一般公共预算拨款</w:t>
            </w:r>
          </w:p>
        </w:tc>
        <w:tc>
          <w:tcPr>
            <w:tcW w:w="2693" w:type="dxa"/>
            <w:tcBorders>
              <w:top w:val="nil"/>
              <w:left w:val="nil"/>
              <w:bottom w:val="single" w:sz="4" w:space="0" w:color="auto"/>
              <w:right w:val="single" w:sz="4" w:space="0" w:color="auto"/>
            </w:tcBorders>
            <w:shd w:val="clear" w:color="auto" w:fill="auto"/>
            <w:noWrap/>
          </w:tcPr>
          <w:p>
            <w:pPr>
              <w:rPr>
                <w:rFonts w:ascii="Times New Roman" w:cs="Times New Roman" w:hAnsi="Times New Roman"/>
              </w:rPr>
            </w:pPr>
            <w:r>
              <w:rPr>
                <w:rFonts w:ascii="Times New Roman" w:cs="Times New Roman" w:hAnsi="Times New Roman"/>
              </w:rPr>
              <w:t>2818.12</w:t>
            </w:r>
          </w:p>
        </w:tc>
        <w:tc>
          <w:tcPr>
            <w:tcW w:w="4253" w:type="dxa"/>
            <w:tcBorders>
              <w:top w:val="nil"/>
              <w:left w:val="single" w:sz="4" w:space="0" w:color="000000"/>
              <w:bottom w:val="single" w:sz="4" w:space="0" w:color="000000"/>
              <w:right w:val="single" w:sz="4" w:space="0" w:color="000000"/>
            </w:tcBorders>
            <w:shd w:val="clear" w:color="auto" w:fill="auto"/>
            <w:noWrap/>
            <w:vAlign w:val="center"/>
          </w:tcPr>
          <w:p>
            <w:pPr>
              <w:rPr>
                <w:rFonts w:ascii="Times New Roman" w:cs="Times New Roman" w:hAnsi="Times New Roman"/>
                <w:color w:val="000000"/>
                <w:sz w:val="18"/>
                <w:szCs w:val="18"/>
              </w:rPr>
            </w:pPr>
            <w:r>
              <w:rPr>
                <w:rFonts w:ascii="Times New Roman" w:cs="Times New Roman" w:hAnsi="Times New Roman"/>
                <w:color w:val="000000"/>
                <w:sz w:val="18"/>
                <w:szCs w:val="18"/>
              </w:rPr>
              <w:t>（一）一般公共服务支出</w:t>
            </w:r>
          </w:p>
        </w:tc>
        <w:tc>
          <w:tcPr>
            <w:tcW w:w="2693" w:type="dxa"/>
            <w:tcBorders>
              <w:top w:val="nil"/>
              <w:left w:val="single" w:sz="4" w:space="0" w:color="000000"/>
              <w:bottom w:val="single" w:sz="4" w:space="0" w:color="000000"/>
              <w:right w:val="single" w:sz="4" w:space="0" w:color="000000"/>
            </w:tcBorders>
            <w:shd w:val="clear" w:color="auto" w:fill="auto"/>
            <w:noWrap/>
            <w:vAlign w:val="center"/>
          </w:tcPr>
          <w:p>
            <w:pPr>
              <w:jc w:val="left"/>
              <w:rPr>
                <w:color w:val="000000"/>
                <w:sz w:val="18"/>
                <w:szCs w:val="18"/>
              </w:rPr>
            </w:pPr>
            <w:r>
              <w:rPr>
                <w:rFonts w:hint="eastAsia"/>
                <w:color w:val="000000"/>
                <w:sz w:val="18"/>
                <w:szCs w:val="18"/>
              </w:rPr>
              <w:t>1,598.77</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4"/>
                <w:szCs w:val="24"/>
              </w:rPr>
            </w:pPr>
            <w:r>
              <w:rPr>
                <w:rFonts w:ascii="Times New Roman" w:cs="Times New Roman" w:hAnsi="Times New Roman"/>
                <w:color w:val="000000"/>
                <w:kern w:val="0"/>
                <w:sz w:val="24"/>
                <w:szCs w:val="24"/>
              </w:rPr>
              <w:t>（二）政府性基金预算拨款</w:t>
            </w:r>
          </w:p>
        </w:tc>
        <w:tc>
          <w:tcPr>
            <w:tcW w:w="2693" w:type="dxa"/>
            <w:tcBorders>
              <w:top w:val="nil"/>
              <w:left w:val="nil"/>
              <w:bottom w:val="single" w:sz="4" w:space="0" w:color="auto"/>
              <w:right w:val="single" w:sz="4" w:space="0" w:color="auto"/>
            </w:tcBorders>
            <w:shd w:val="clear" w:color="auto" w:fill="auto"/>
            <w:noWrap/>
          </w:tcPr>
          <w:p>
            <w:pPr>
              <w:rPr>
                <w:rFonts w:ascii="Times New Roman" w:cs="Times New Roman" w:hAnsi="Times New Roman"/>
              </w:rPr>
            </w:pPr>
          </w:p>
        </w:tc>
        <w:tc>
          <w:tcPr>
            <w:tcW w:w="4253" w:type="dxa"/>
            <w:tcBorders>
              <w:top w:val="nil"/>
              <w:left w:val="single" w:sz="4" w:space="0" w:color="000000"/>
              <w:bottom w:val="single" w:sz="4" w:space="0" w:color="000000"/>
              <w:right w:val="single" w:sz="4" w:space="0" w:color="000000"/>
            </w:tcBorders>
            <w:shd w:val="clear" w:color="auto" w:fill="auto"/>
            <w:noWrap/>
            <w:vAlign w:val="center"/>
          </w:tcPr>
          <w:p>
            <w:pPr>
              <w:rPr>
                <w:rFonts w:ascii="Times New Roman" w:cs="Times New Roman" w:hAnsi="Times New Roman"/>
                <w:color w:val="000000"/>
                <w:sz w:val="18"/>
                <w:szCs w:val="18"/>
              </w:rPr>
            </w:pPr>
            <w:r>
              <w:rPr>
                <w:rFonts w:ascii="Times New Roman" w:cs="Times New Roman" w:hAnsi="Times New Roman"/>
                <w:color w:val="000000"/>
                <w:sz w:val="18"/>
                <w:szCs w:val="18"/>
              </w:rPr>
              <w:t>（二）公共安全支出</w:t>
            </w:r>
          </w:p>
        </w:tc>
        <w:tc>
          <w:tcPr>
            <w:tcW w:w="2693" w:type="dxa"/>
            <w:tcBorders>
              <w:top w:val="nil"/>
              <w:left w:val="single" w:sz="4" w:space="0" w:color="000000"/>
              <w:bottom w:val="single" w:sz="4" w:space="0" w:color="000000"/>
              <w:right w:val="single" w:sz="4" w:space="0" w:color="000000"/>
            </w:tcBorders>
            <w:shd w:val="clear" w:color="auto" w:fill="auto"/>
            <w:noWrap/>
            <w:vAlign w:val="center"/>
          </w:tcPr>
          <w:p>
            <w:pPr>
              <w:jc w:val="left"/>
              <w:rPr>
                <w:color w:val="000000"/>
                <w:sz w:val="18"/>
                <w:szCs w:val="18"/>
              </w:rPr>
            </w:pPr>
            <w:r>
              <w:rPr>
                <w:rFonts w:hint="eastAsia"/>
                <w:color w:val="000000"/>
                <w:sz w:val="18"/>
                <w:szCs w:val="18"/>
              </w:rPr>
              <w:t>297.60</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4"/>
                <w:szCs w:val="24"/>
              </w:rPr>
            </w:pPr>
            <w:r>
              <w:rPr>
                <w:rFonts w:ascii="Times New Roman" w:cs="Times New Roman" w:hAnsi="Times New Roman"/>
                <w:color w:val="000000"/>
                <w:kern w:val="0"/>
                <w:sz w:val="24"/>
                <w:szCs w:val="24"/>
              </w:rPr>
              <w:t>（三）国有资本经营预算拨款</w:t>
            </w:r>
          </w:p>
        </w:tc>
        <w:tc>
          <w:tcPr>
            <w:tcW w:w="2693" w:type="dxa"/>
            <w:tcBorders>
              <w:top w:val="nil"/>
              <w:left w:val="nil"/>
              <w:bottom w:val="single" w:sz="4" w:space="0" w:color="auto"/>
              <w:right w:val="single" w:sz="4" w:space="0" w:color="auto"/>
            </w:tcBorders>
            <w:shd w:val="clear" w:color="auto" w:fill="auto"/>
            <w:noWrap/>
          </w:tcPr>
          <w:p>
            <w:pPr>
              <w:rPr>
                <w:rFonts w:ascii="Times New Roman" w:cs="Times New Roman" w:hAnsi="Times New Roman"/>
              </w:rPr>
            </w:pPr>
          </w:p>
        </w:tc>
        <w:tc>
          <w:tcPr>
            <w:tcW w:w="4253" w:type="dxa"/>
            <w:tcBorders>
              <w:top w:val="nil"/>
              <w:left w:val="single" w:sz="4" w:space="0" w:color="000000"/>
              <w:bottom w:val="single" w:sz="4" w:space="0" w:color="000000"/>
              <w:right w:val="single" w:sz="4" w:space="0" w:color="000000"/>
            </w:tcBorders>
            <w:shd w:val="clear" w:color="auto" w:fill="auto"/>
            <w:noWrap/>
            <w:vAlign w:val="center"/>
          </w:tcPr>
          <w:p>
            <w:pPr>
              <w:rPr>
                <w:rFonts w:ascii="Times New Roman" w:cs="Times New Roman" w:hAnsi="Times New Roman"/>
                <w:color w:val="000000"/>
                <w:sz w:val="18"/>
                <w:szCs w:val="18"/>
              </w:rPr>
            </w:pPr>
            <w:r>
              <w:rPr>
                <w:rFonts w:ascii="Times New Roman" w:cs="Times New Roman" w:hAnsi="Times New Roman"/>
                <w:color w:val="000000"/>
                <w:sz w:val="18"/>
                <w:szCs w:val="18"/>
              </w:rPr>
              <w:t>（三）社会保障和就业支出</w:t>
            </w:r>
          </w:p>
        </w:tc>
        <w:tc>
          <w:tcPr>
            <w:tcW w:w="2693" w:type="dxa"/>
            <w:tcBorders>
              <w:top w:val="nil"/>
              <w:left w:val="single" w:sz="4" w:space="0" w:color="000000"/>
              <w:bottom w:val="single" w:sz="4" w:space="0" w:color="000000"/>
              <w:right w:val="single" w:sz="4" w:space="0" w:color="000000"/>
            </w:tcBorders>
            <w:shd w:val="clear" w:color="auto" w:fill="auto"/>
            <w:noWrap/>
            <w:vAlign w:val="center"/>
          </w:tcPr>
          <w:p>
            <w:pPr>
              <w:jc w:val="left"/>
              <w:rPr>
                <w:color w:val="000000"/>
                <w:sz w:val="18"/>
                <w:szCs w:val="18"/>
              </w:rPr>
            </w:pPr>
            <w:r>
              <w:rPr>
                <w:rFonts w:hint="eastAsia"/>
                <w:color w:val="000000"/>
                <w:sz w:val="18"/>
                <w:szCs w:val="18"/>
              </w:rPr>
              <w:t>291.09</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tcPr>
          <w:p>
            <w:pPr>
              <w:rPr>
                <w:rFonts w:ascii="Times New Roman" w:cs="Times New Roman" w:hAnsi="Times New Roman"/>
              </w:rPr>
            </w:pPr>
          </w:p>
        </w:tc>
        <w:tc>
          <w:tcPr>
            <w:tcW w:w="4253" w:type="dxa"/>
            <w:tcBorders>
              <w:top w:val="nil"/>
              <w:left w:val="single" w:sz="4" w:space="0" w:color="000000"/>
              <w:bottom w:val="single" w:sz="4" w:space="0" w:color="000000"/>
              <w:right w:val="single" w:sz="4" w:space="0" w:color="000000"/>
            </w:tcBorders>
            <w:shd w:val="clear" w:color="auto" w:fill="auto"/>
            <w:noWrap/>
            <w:vAlign w:val="center"/>
          </w:tcPr>
          <w:p>
            <w:pPr>
              <w:rPr>
                <w:rFonts w:ascii="Times New Roman" w:cs="Times New Roman" w:hAnsi="Times New Roman"/>
                <w:color w:val="000000"/>
                <w:sz w:val="18"/>
                <w:szCs w:val="18"/>
              </w:rPr>
            </w:pPr>
            <w:r>
              <w:rPr>
                <w:rFonts w:ascii="Times New Roman" w:cs="Times New Roman" w:hAnsi="Times New Roman"/>
                <w:color w:val="000000"/>
                <w:sz w:val="18"/>
                <w:szCs w:val="18"/>
              </w:rPr>
              <w:t>（四）卫生健康支出</w:t>
            </w:r>
          </w:p>
        </w:tc>
        <w:tc>
          <w:tcPr>
            <w:tcW w:w="2693" w:type="dxa"/>
            <w:tcBorders>
              <w:top w:val="nil"/>
              <w:left w:val="single" w:sz="4" w:space="0" w:color="000000"/>
              <w:bottom w:val="single" w:sz="4" w:space="0" w:color="000000"/>
              <w:right w:val="single" w:sz="4" w:space="0" w:color="000000"/>
            </w:tcBorders>
            <w:shd w:val="clear" w:color="auto" w:fill="auto"/>
            <w:noWrap/>
            <w:vAlign w:val="center"/>
          </w:tcPr>
          <w:p>
            <w:pPr>
              <w:jc w:val="left"/>
              <w:rPr>
                <w:color w:val="000000"/>
                <w:sz w:val="18"/>
                <w:szCs w:val="18"/>
              </w:rPr>
            </w:pPr>
            <w:r>
              <w:rPr>
                <w:rFonts w:hint="eastAsia"/>
                <w:color w:val="000000"/>
                <w:sz w:val="18"/>
                <w:szCs w:val="18"/>
              </w:rPr>
              <w:t>162.67</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4"/>
                <w:szCs w:val="24"/>
              </w:rPr>
            </w:pPr>
            <w:r>
              <w:rPr>
                <w:rFonts w:ascii="Times New Roman" w:cs="Times New Roman" w:hAnsi="Times New Roman"/>
                <w:color w:val="000000"/>
                <w:kern w:val="0"/>
                <w:sz w:val="24"/>
                <w:szCs w:val="24"/>
              </w:rPr>
              <w:t>二、上年结转</w:t>
            </w:r>
          </w:p>
        </w:tc>
        <w:tc>
          <w:tcPr>
            <w:tcW w:w="2693" w:type="dxa"/>
            <w:tcBorders>
              <w:top w:val="nil"/>
              <w:left w:val="nil"/>
              <w:bottom w:val="single" w:sz="4" w:space="0" w:color="auto"/>
              <w:right w:val="single" w:sz="4" w:space="0" w:color="auto"/>
            </w:tcBorders>
            <w:shd w:val="clear" w:color="auto" w:fill="auto"/>
            <w:noWrap/>
          </w:tcPr>
          <w:p>
            <w:pPr>
              <w:rPr>
                <w:rFonts w:ascii="Times New Roman" w:cs="Times New Roman" w:hAnsi="Times New Roman"/>
              </w:rPr>
            </w:pPr>
            <w:r>
              <w:rPr>
                <w:rFonts w:ascii="Times New Roman" w:cs="Times New Roman" w:hAnsi="Times New Roman" w:hint="eastAsia"/>
              </w:rPr>
              <w:t>0.01</w:t>
            </w:r>
          </w:p>
        </w:tc>
        <w:tc>
          <w:tcPr>
            <w:tcW w:w="4253" w:type="dxa"/>
            <w:tcBorders>
              <w:top w:val="nil"/>
              <w:left w:val="single" w:sz="4" w:space="0" w:color="000000"/>
              <w:bottom w:val="single" w:sz="4" w:space="0" w:color="000000"/>
              <w:right w:val="single" w:sz="4" w:space="0" w:color="000000"/>
            </w:tcBorders>
            <w:shd w:val="clear" w:color="auto" w:fill="auto"/>
            <w:noWrap/>
            <w:vAlign w:val="center"/>
          </w:tcPr>
          <w:p>
            <w:pPr>
              <w:rPr>
                <w:rFonts w:ascii="Times New Roman" w:cs="Times New Roman" w:hAnsi="Times New Roman"/>
                <w:color w:val="000000"/>
                <w:sz w:val="18"/>
                <w:szCs w:val="18"/>
              </w:rPr>
            </w:pPr>
            <w:r>
              <w:rPr>
                <w:rFonts w:ascii="Times New Roman" w:cs="Times New Roman" w:hAnsi="Times New Roman"/>
                <w:color w:val="000000"/>
                <w:sz w:val="18"/>
                <w:szCs w:val="18"/>
              </w:rPr>
              <w:t>（五）住房保障支出</w:t>
            </w:r>
          </w:p>
        </w:tc>
        <w:tc>
          <w:tcPr>
            <w:tcW w:w="2693" w:type="dxa"/>
            <w:tcBorders>
              <w:top w:val="nil"/>
              <w:left w:val="single" w:sz="4" w:space="0" w:color="000000"/>
              <w:bottom w:val="single" w:sz="4" w:space="0" w:color="000000"/>
              <w:right w:val="single" w:sz="4" w:space="0" w:color="000000"/>
            </w:tcBorders>
            <w:shd w:val="clear" w:color="auto" w:fill="auto"/>
            <w:noWrap/>
            <w:vAlign w:val="center"/>
          </w:tcPr>
          <w:p>
            <w:pPr>
              <w:jc w:val="left"/>
              <w:rPr>
                <w:color w:val="000000"/>
                <w:sz w:val="18"/>
                <w:szCs w:val="18"/>
              </w:rPr>
            </w:pPr>
            <w:r>
              <w:rPr>
                <w:rFonts w:hint="eastAsia"/>
                <w:color w:val="000000"/>
                <w:sz w:val="18"/>
                <w:szCs w:val="18"/>
              </w:rPr>
              <w:t>468.00</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4"/>
                <w:szCs w:val="24"/>
              </w:rPr>
            </w:pPr>
            <w:r>
              <w:rPr>
                <w:rFonts w:ascii="Times New Roman" w:cs="Times New Roman" w:hAnsi="Times New Roman"/>
                <w:color w:val="000000"/>
                <w:kern w:val="0"/>
                <w:sz w:val="24"/>
                <w:szCs w:val="24"/>
              </w:rPr>
              <w:t>（一）一般公共预算拨款</w:t>
            </w:r>
          </w:p>
        </w:tc>
        <w:tc>
          <w:tcPr>
            <w:tcW w:w="2693" w:type="dxa"/>
            <w:tcBorders>
              <w:top w:val="nil"/>
              <w:left w:val="nil"/>
              <w:bottom w:val="single" w:sz="4" w:space="0" w:color="auto"/>
              <w:right w:val="single" w:sz="4" w:space="0" w:color="auto"/>
            </w:tcBorders>
            <w:shd w:val="clear" w:color="auto" w:fill="auto"/>
            <w:noWrap/>
          </w:tcPr>
          <w:p>
            <w:pPr>
              <w:rPr>
                <w:rFonts w:ascii="Times New Roman" w:cs="Times New Roman" w:hAnsi="Times New Roman"/>
              </w:rPr>
            </w:pPr>
            <w:r>
              <w:rPr>
                <w:rFonts w:ascii="Times New Roman" w:cs="Times New Roman" w:hAnsi="Times New Roman" w:hint="eastAsia"/>
              </w:rPr>
              <w:t>0.01</w:t>
            </w:r>
          </w:p>
        </w:tc>
        <w:tc>
          <w:tcPr>
            <w:tcW w:w="425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tcPr>
          <w:p>
            <w:pPr>
              <w:rPr>
                <w:rFonts w:ascii="Times New Roman" w:cs="Times New Roman" w:hAnsi="Times New Roman"/>
              </w:rPr>
            </w:pP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4"/>
                <w:szCs w:val="24"/>
              </w:rPr>
            </w:pPr>
            <w:r>
              <w:rPr>
                <w:rFonts w:ascii="Times New Roman" w:cs="Times New Roman" w:hAnsi="Times New Roman"/>
                <w:color w:val="000000"/>
                <w:kern w:val="0"/>
                <w:sz w:val="24"/>
                <w:szCs w:val="24"/>
              </w:rPr>
              <w:t>（二）政府性基金预算拨款</w:t>
            </w:r>
          </w:p>
        </w:tc>
        <w:tc>
          <w:tcPr>
            <w:tcW w:w="2693" w:type="dxa"/>
            <w:tcBorders>
              <w:top w:val="nil"/>
              <w:left w:val="nil"/>
              <w:bottom w:val="single" w:sz="4" w:space="0" w:color="auto"/>
              <w:right w:val="single" w:sz="4" w:space="0" w:color="auto"/>
            </w:tcBorders>
            <w:shd w:val="clear" w:color="auto" w:fill="auto"/>
            <w:noWrap/>
          </w:tcPr>
          <w:p>
            <w:pPr>
              <w:rPr>
                <w:rFonts w:ascii="Times New Roman" w:cs="Times New Roman" w:hAnsi="Times New Roman"/>
              </w:rPr>
            </w:pPr>
          </w:p>
        </w:tc>
        <w:tc>
          <w:tcPr>
            <w:tcW w:w="425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tcPr>
          <w:p>
            <w:pPr>
              <w:rPr>
                <w:rFonts w:ascii="Times New Roman" w:cs="Times New Roman" w:hAnsi="Times New Roman"/>
              </w:rPr>
            </w:pP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4"/>
                <w:szCs w:val="24"/>
              </w:rPr>
            </w:pPr>
            <w:r>
              <w:rPr>
                <w:rFonts w:ascii="Times New Roman" w:cs="Times New Roman" w:hAnsi="Times New Roman"/>
                <w:color w:val="000000"/>
                <w:kern w:val="0"/>
                <w:sz w:val="24"/>
                <w:szCs w:val="24"/>
              </w:rPr>
              <w:t>（三）国有资本经营预算拨款</w:t>
            </w:r>
          </w:p>
        </w:tc>
        <w:tc>
          <w:tcPr>
            <w:tcW w:w="2693" w:type="dxa"/>
            <w:tcBorders>
              <w:top w:val="nil"/>
              <w:left w:val="nil"/>
              <w:bottom w:val="single" w:sz="4" w:space="0" w:color="auto"/>
              <w:right w:val="single" w:sz="4" w:space="0" w:color="auto"/>
            </w:tcBorders>
            <w:shd w:val="clear" w:color="auto" w:fill="auto"/>
            <w:noWrap/>
          </w:tcPr>
          <w:p>
            <w:pPr>
              <w:rPr>
                <w:rFonts w:ascii="Times New Roman" w:cs="Times New Roman" w:hAnsi="Times New Roman"/>
              </w:rPr>
            </w:pPr>
          </w:p>
        </w:tc>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4"/>
                <w:szCs w:val="24"/>
              </w:rPr>
            </w:pPr>
          </w:p>
        </w:tc>
        <w:tc>
          <w:tcPr>
            <w:tcW w:w="2693" w:type="dxa"/>
            <w:tcBorders>
              <w:top w:val="single" w:sz="4" w:space="0" w:color="auto"/>
              <w:left w:val="nil"/>
              <w:bottom w:val="single" w:sz="4" w:space="0" w:color="auto"/>
              <w:right w:val="single" w:sz="4" w:space="0" w:color="auto"/>
            </w:tcBorders>
            <w:shd w:val="clear" w:color="auto" w:fill="auto"/>
            <w:noWrap/>
          </w:tcPr>
          <w:p>
            <w:pPr>
              <w:rPr>
                <w:rFonts w:ascii="Times New Roman" w:cs="Times New Roman" w:hAnsi="Times New Roman"/>
              </w:rPr>
            </w:pP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tcPr>
          <w:p>
            <w:pPr>
              <w:rPr>
                <w:rFonts w:ascii="Times New Roman" w:cs="Times New Roman" w:hAnsi="Times New Roman"/>
              </w:rPr>
            </w:pPr>
          </w:p>
        </w:tc>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tcPr>
          <w:p>
            <w:pPr>
              <w:rPr>
                <w:rFonts w:ascii="Times New Roman" w:cs="Times New Roman" w:hAnsi="Times New Roman"/>
              </w:rPr>
            </w:pP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4"/>
                <w:szCs w:val="24"/>
              </w:rPr>
            </w:pPr>
            <w:r>
              <w:rPr>
                <w:rFonts w:ascii="Times New Roman" w:cs="Times New Roman" w:hAnsi="Times New Roman"/>
                <w:color w:val="000000"/>
                <w:kern w:val="0"/>
                <w:sz w:val="24"/>
                <w:szCs w:val="24"/>
              </w:rPr>
              <w:t>收    入    总    计</w:t>
            </w:r>
          </w:p>
        </w:tc>
        <w:tc>
          <w:tcPr>
            <w:tcW w:w="2693" w:type="dxa"/>
            <w:tcBorders>
              <w:top w:val="nil"/>
              <w:left w:val="nil"/>
              <w:bottom w:val="single" w:sz="4" w:space="0" w:color="auto"/>
              <w:right w:val="single" w:sz="4" w:space="0" w:color="auto"/>
            </w:tcBorders>
            <w:shd w:val="clear" w:color="auto" w:fill="auto"/>
            <w:noWrap/>
          </w:tcPr>
          <w:p>
            <w:pPr>
              <w:rPr>
                <w:rFonts w:ascii="Times New Roman" w:cs="Times New Roman" w:hAnsi="Times New Roman"/>
              </w:rPr>
            </w:pPr>
            <w:r>
              <w:rPr>
                <w:rFonts w:ascii="Times New Roman" w:cs="Times New Roman" w:hAnsi="Times New Roman"/>
              </w:rPr>
              <w:t>2818.13</w:t>
            </w:r>
          </w:p>
        </w:tc>
        <w:tc>
          <w:tcPr>
            <w:tcW w:w="4253" w:type="dxa"/>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4"/>
                <w:szCs w:val="24"/>
              </w:rPr>
            </w:pPr>
            <w:r>
              <w:rPr>
                <w:rFonts w:ascii="Times New Roman" w:cs="Times New Roman" w:hAnsi="Times New Roman"/>
                <w:color w:val="000000"/>
                <w:kern w:val="0"/>
                <w:sz w:val="24"/>
                <w:szCs w:val="24"/>
              </w:rPr>
              <w:t>支    出    总    计</w:t>
            </w:r>
          </w:p>
        </w:tc>
        <w:tc>
          <w:tcPr>
            <w:tcW w:w="2693" w:type="dxa"/>
            <w:tcBorders>
              <w:top w:val="single" w:sz="4" w:space="0" w:color="auto"/>
              <w:left w:val="nil"/>
              <w:bottom w:val="single" w:sz="4" w:space="0" w:color="auto"/>
              <w:right w:val="single" w:sz="4" w:space="0" w:color="auto"/>
            </w:tcBorders>
            <w:shd w:val="clear" w:color="auto" w:fill="auto"/>
            <w:noWrap/>
          </w:tcPr>
          <w:p>
            <w:pPr>
              <w:rPr>
                <w:rFonts w:ascii="Times New Roman" w:cs="Times New Roman" w:hAnsi="Times New Roman"/>
              </w:rPr>
            </w:pPr>
            <w:r>
              <w:rPr>
                <w:rFonts w:ascii="Times New Roman" w:cs="Times New Roman" w:hAnsi="Times New Roman"/>
              </w:rPr>
              <w:t>2818.13</w:t>
            </w:r>
          </w:p>
        </w:tc>
      </w:tr>
    </w:tbl>
    <w:p>
      <w:pPr>
        <w:jc w:val="left"/>
        <w:rPr>
          <w:rFonts w:ascii="Times New Roman" w:eastAsia="方正仿宋_GBK" w:cs="Times New Roman" w:hAnsi="Times New Roman"/>
          <w:sz w:val="32"/>
          <w:szCs w:val="32"/>
        </w:rPr>
      </w:pPr>
    </w:p>
    <w:p>
      <w:pPr>
        <w:jc w:val="center"/>
        <w:rPr>
          <w:rFonts w:ascii="Times New Roman" w:eastAsia="方正仿宋_GBK" w:cs="Times New Roman" w:hAnsi="Times New Roman"/>
          <w:sz w:val="32"/>
          <w:szCs w:val="32"/>
        </w:rPr>
      </w:pPr>
    </w:p>
    <w:p>
      <w:pPr>
        <w:rPr>
          <w:rFonts w:ascii="Times New Roman" w:cs="Times New Roman" w:hAnsi="Times New Roman"/>
        </w:rPr>
      </w:pPr>
      <w:r>
        <w:drawing>
          <wp:inline distT="0" distB="0" distL="0" distR="0">
            <wp:extent cx="8863331" cy="4224526"/>
            <wp:effectExtent l="0" t="0" r="0" b="0"/>
            <wp:docPr id="10" name="图片 10"/>
            <wp:cNvGraphicFramePr>
              <a:graphicFrameLocks noChangeAspect="1"/>
            </wp:cNvGraphicFramePr>
            <a:graphic>
              <a:graphicData uri="http://schemas.openxmlformats.org/drawingml/2006/picture">
                <pic:pic>
                  <pic:nvPicPr>
                    <pic:cNvPr id="12" name="图片 10 12"/>
                    <pic:cNvPicPr/>
                  </pic:nvPicPr>
                  <pic:blipFill>
                    <a:blip r:embed="rId5"/>
                    <a:stretch>
                      <a:fillRect/>
                    </a:stretch>
                  </pic:blipFill>
                  <pic:spPr>
                    <a:xfrm rot="0">
                      <a:off x="0" y="0"/>
                      <a:ext cx="8863331" cy="4224526"/>
                    </a:xfrm>
                    <a:prstGeom prst="rect"/>
                    <a:noFill/>
                    <a:ln w="9525" cmpd="sng" cap="flat">
                      <a:noFill/>
                      <a:prstDash val="solid"/>
                      <a:round/>
                    </a:ln>
                  </pic:spPr>
                </pic:pic>
              </a:graphicData>
            </a:graphic>
          </wp:inline>
        </w:drawing>
      </w:r>
    </w:p>
    <w:p>
      <w:pPr>
        <w:rPr>
          <w:rFonts w:ascii="Times New Roman" w:eastAsia="方正仿宋_GBK" w:cs="Times New Roman" w:hAnsi="Times New Roman"/>
          <w:sz w:val="32"/>
          <w:szCs w:val="32"/>
        </w:rPr>
        <w:sectPr>
          <w:pgSz w:w="16838" w:h="11906" w:orient="landscape"/>
          <w:pgMar w:top="1800" w:right="1440" w:bottom="1800" w:left="1440" w:header="851" w:footer="992" w:gutter="0"/>
          <w:cols w:num="1" w:space="720"/>
          <w:docGrid w:type="lines" w:linePitch="312" w:charSpace="0"/>
        </w:sectPr>
      </w:pPr>
    </w:p>
    <w:p>
      <w:pPr>
        <w:jc w:val="center"/>
        <w:rPr>
          <w:rFonts w:ascii="Times New Roman" w:eastAsia="方正仿宋_GBK" w:cs="Times New Roman" w:hAnsi="Times New Roman"/>
          <w:sz w:val="32"/>
          <w:szCs w:val="32"/>
        </w:rPr>
      </w:pPr>
      <w:bookmarkStart w:id="0" w:name="RANGE!A1:E71"/>
      <w:bookmarkEnd w:id="0"/>
      <w:r>
        <w:drawing>
          <wp:inline distT="0" distB="0" distL="0" distR="0">
            <wp:extent cx="8863331" cy="6085087"/>
            <wp:effectExtent l="0" t="0" r="0" b="0"/>
            <wp:docPr id="13" name="图片 13"/>
            <wp:cNvGraphicFramePr>
              <a:graphicFrameLocks noChangeAspect="1"/>
            </wp:cNvGraphicFramePr>
            <a:graphic>
              <a:graphicData uri="http://schemas.openxmlformats.org/drawingml/2006/picture">
                <pic:pic>
                  <pic:nvPicPr>
                    <pic:cNvPr id="15" name="图片 13 15"/>
                    <pic:cNvPicPr/>
                  </pic:nvPicPr>
                  <pic:blipFill>
                    <a:blip r:embed="rId6"/>
                    <a:stretch>
                      <a:fillRect/>
                    </a:stretch>
                  </pic:blipFill>
                  <pic:spPr>
                    <a:xfrm rot="0">
                      <a:off x="0" y="0"/>
                      <a:ext cx="8863331" cy="6085087"/>
                    </a:xfrm>
                    <a:prstGeom prst="rect"/>
                    <a:noFill/>
                    <a:ln w="9525" cmpd="sng" cap="flat">
                      <a:noFill/>
                      <a:prstDash val="solid"/>
                      <a:round/>
                    </a:ln>
                  </pic:spPr>
                </pic:pic>
              </a:graphicData>
            </a:graphic>
          </wp:inline>
        </w:drawing>
      </w:r>
    </w:p>
    <w:p>
      <w:pPr>
        <w:rPr>
          <w:rFonts w:ascii="Times New Roman" w:eastAsia="方正仿宋_GBK" w:cs="Times New Roman" w:hAnsi="Times New Roman"/>
          <w:sz w:val="32"/>
          <w:szCs w:val="32"/>
        </w:rPr>
        <w:sectPr>
          <w:pgSz w:w="16838" w:h="11906" w:orient="landscape"/>
          <w:pgMar w:top="1800" w:right="1440" w:bottom="1800" w:left="1440" w:header="851" w:footer="992" w:gutter="0"/>
          <w:cols w:num="1" w:space="720"/>
          <w:docGrid w:type="lines" w:linePitch="312" w:charSpace="0"/>
        </w:sectPr>
      </w:pPr>
    </w:p>
    <w:tbl>
      <w:tblPr>
        <w:jc w:val="center"/>
        <w:tblW w:w="1389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977"/>
        <w:gridCol w:w="3402"/>
        <w:gridCol w:w="2552"/>
        <w:gridCol w:w="2551"/>
        <w:gridCol w:w="2410"/>
      </w:tblGrid>
      <w:tr>
        <w:trPr>
          <w:trHeight w:val="315"/>
        </w:trPr>
        <w:tc>
          <w:tcPr>
            <w:tcW w:w="2977" w:type="dxa"/>
            <w:tcBorders>
              <w:top w:val="nil"/>
              <w:left w:val="nil"/>
              <w:bottom w:val="nil"/>
              <w:right w:val="nil"/>
            </w:tcBorders>
            <w:shd w:val="clear" w:color="auto" w:fill="auto"/>
            <w:vAlign w:val="center"/>
          </w:tcPr>
          <w:p>
            <w:pPr>
              <w:widowControl/>
              <w:jc w:val="left"/>
              <w:rPr>
                <w:rFonts w:ascii="Times New Roman" w:cs="Times New Roman" w:hAnsi="Times New Roman"/>
                <w:kern w:val="0"/>
                <w:sz w:val="24"/>
                <w:szCs w:val="24"/>
              </w:rPr>
            </w:pPr>
          </w:p>
        </w:tc>
        <w:tc>
          <w:tcPr>
            <w:tcW w:w="3402" w:type="dxa"/>
            <w:tcBorders>
              <w:top w:val="nil"/>
              <w:left w:val="nil"/>
              <w:bottom w:val="nil"/>
              <w:right w:val="nil"/>
            </w:tcBorders>
            <w:shd w:val="clear" w:color="auto" w:fill="auto"/>
            <w:vAlign w:val="center"/>
          </w:tcPr>
          <w:p>
            <w:pPr>
              <w:widowControl/>
              <w:jc w:val="left"/>
              <w:rPr>
                <w:rFonts w:ascii="Times New Roman" w:eastAsia="Times New Roman" w:cs="Times New Roman" w:hAnsi="Times New Roman"/>
                <w:kern w:val="0"/>
                <w:sz w:val="20"/>
                <w:szCs w:val="20"/>
              </w:rPr>
            </w:pPr>
          </w:p>
        </w:tc>
        <w:tc>
          <w:tcPr>
            <w:tcW w:w="2552" w:type="dxa"/>
            <w:tcBorders>
              <w:top w:val="nil"/>
              <w:left w:val="nil"/>
              <w:bottom w:val="nil"/>
              <w:right w:val="nil"/>
            </w:tcBorders>
            <w:shd w:val="clear" w:color="auto" w:fill="auto"/>
            <w:vAlign w:val="center"/>
          </w:tcPr>
          <w:p>
            <w:pPr>
              <w:widowControl/>
              <w:jc w:val="left"/>
              <w:rPr>
                <w:rFonts w:ascii="Times New Roman" w:eastAsia="Times New Roman" w:cs="Times New Roman" w:hAnsi="Times New Roman"/>
                <w:kern w:val="0"/>
                <w:sz w:val="20"/>
                <w:szCs w:val="20"/>
              </w:rPr>
            </w:pPr>
          </w:p>
        </w:tc>
        <w:tc>
          <w:tcPr>
            <w:tcW w:w="2551" w:type="dxa"/>
            <w:tcBorders>
              <w:top w:val="nil"/>
              <w:left w:val="nil"/>
              <w:bottom w:val="nil"/>
              <w:right w:val="nil"/>
            </w:tcBorders>
            <w:shd w:val="clear" w:color="auto" w:fill="auto"/>
            <w:vAlign w:val="center"/>
          </w:tcPr>
          <w:p>
            <w:pPr>
              <w:widowControl/>
              <w:jc w:val="left"/>
              <w:rPr>
                <w:rFonts w:ascii="Times New Roman" w:eastAsia="Times New Roman" w:cs="Times New Roman" w:hAnsi="Times New Roman"/>
                <w:kern w:val="0"/>
                <w:sz w:val="20"/>
                <w:szCs w:val="20"/>
              </w:rPr>
            </w:pPr>
          </w:p>
        </w:tc>
        <w:tc>
          <w:tcPr>
            <w:tcW w:w="2410" w:type="dxa"/>
            <w:tcBorders>
              <w:top w:val="nil"/>
              <w:left w:val="nil"/>
              <w:bottom w:val="nil"/>
              <w:right w:val="nil"/>
            </w:tcBorders>
            <w:shd w:val="clear" w:color="auto" w:fill="auto"/>
            <w:noWrap/>
            <w:vAlign w:val="center"/>
          </w:tcPr>
          <w:p>
            <w:pPr>
              <w:widowControl/>
              <w:jc w:val="right"/>
              <w:rPr>
                <w:rFonts w:ascii="Times New Roman" w:eastAsia="黑体" w:cs="Times New Roman" w:hAnsi="Times New Roman"/>
                <w:kern w:val="0"/>
                <w:sz w:val="20"/>
                <w:szCs w:val="20"/>
              </w:rPr>
            </w:pPr>
            <w:r>
              <w:rPr>
                <w:rFonts w:ascii="Times New Roman" w:eastAsia="黑体" w:cs="Times New Roman" w:hAnsi="Times New Roman"/>
                <w:kern w:val="0"/>
                <w:sz w:val="20"/>
                <w:szCs w:val="20"/>
              </w:rPr>
              <w:t>部门公开表7</w:t>
            </w:r>
          </w:p>
        </w:tc>
      </w:tr>
      <w:tr>
        <w:trPr>
          <w:trHeight w:val="645"/>
        </w:trPr>
        <w:tc>
          <w:tcPr>
            <w:tcW w:w="13892" w:type="dxa"/>
            <w:gridSpan w:val="5"/>
            <w:tcBorders>
              <w:top w:val="nil"/>
              <w:left w:val="nil"/>
              <w:bottom w:val="nil"/>
              <w:right w:val="nil"/>
            </w:tcBorders>
            <w:shd w:val="clear" w:color="auto" w:fill="auto"/>
            <w:vAlign w:val="center"/>
          </w:tcPr>
          <w:p>
            <w:pPr>
              <w:widowControl/>
              <w:jc w:val="center"/>
              <w:rPr>
                <w:rFonts w:ascii="Times New Roman" w:cs="Times New Roman" w:hAnsi="Times New Roman"/>
                <w:kern w:val="0"/>
                <w:sz w:val="36"/>
                <w:szCs w:val="36"/>
              </w:rPr>
            </w:pPr>
            <w:r>
              <w:rPr>
                <w:rFonts w:ascii="Times New Roman" w:cs="Times New Roman" w:hAnsi="Times New Roman"/>
                <w:kern w:val="0"/>
                <w:sz w:val="36"/>
                <w:szCs w:val="36"/>
              </w:rPr>
              <w:t>政府性基金预算支出表</w:t>
            </w:r>
          </w:p>
        </w:tc>
      </w:tr>
      <w:tr>
        <w:trPr>
          <w:trHeight w:val="435"/>
        </w:trPr>
        <w:tc>
          <w:tcPr>
            <w:tcW w:w="2977" w:type="dxa"/>
            <w:tcBorders>
              <w:top w:val="nil"/>
              <w:left w:val="nil"/>
              <w:bottom w:val="nil"/>
              <w:right w:val="nil"/>
            </w:tcBorders>
            <w:shd w:val="clear" w:color="auto" w:fill="auto"/>
            <w:noWrap/>
            <w:vAlign w:val="center"/>
          </w:tcPr>
          <w:p>
            <w:pPr>
              <w:widowControl/>
              <w:jc w:val="center"/>
              <w:rPr>
                <w:rFonts w:ascii="Times New Roman" w:cs="Times New Roman" w:hAnsi="Times New Roman"/>
                <w:kern w:val="0"/>
                <w:sz w:val="36"/>
                <w:szCs w:val="36"/>
              </w:rPr>
            </w:pPr>
          </w:p>
        </w:tc>
        <w:tc>
          <w:tcPr>
            <w:tcW w:w="3402" w:type="dxa"/>
            <w:tcBorders>
              <w:top w:val="nil"/>
              <w:left w:val="nil"/>
              <w:bottom w:val="single" w:sz="4" w:space="0" w:color="auto"/>
              <w:right w:val="nil"/>
            </w:tcBorders>
            <w:shd w:val="clear" w:color="auto" w:fill="auto"/>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2" w:type="dxa"/>
            <w:tcBorders>
              <w:top w:val="nil"/>
              <w:left w:val="nil"/>
              <w:bottom w:val="single" w:sz="4" w:space="0" w:color="auto"/>
              <w:right w:val="nil"/>
            </w:tcBorders>
            <w:shd w:val="clear" w:color="auto" w:fill="auto"/>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1" w:type="dxa"/>
            <w:tcBorders>
              <w:top w:val="nil"/>
              <w:left w:val="nil"/>
              <w:bottom w:val="single" w:sz="4" w:space="0" w:color="auto"/>
              <w:right w:val="nil"/>
            </w:tcBorders>
            <w:shd w:val="clear" w:color="auto" w:fill="auto"/>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2410" w:type="dxa"/>
            <w:tcBorders>
              <w:top w:val="nil"/>
              <w:left w:val="nil"/>
              <w:bottom w:val="single" w:sz="4" w:space="0" w:color="auto"/>
              <w:right w:val="nil"/>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单位:万元</w:t>
            </w:r>
          </w:p>
        </w:tc>
      </w:tr>
      <w:tr>
        <w:trPr>
          <w:trHeight w:hRule="exact" w:val="567"/>
        </w:trPr>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科目编码</w:t>
            </w:r>
          </w:p>
        </w:tc>
        <w:tc>
          <w:tcPr>
            <w:tcW w:w="3402"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科目名称</w:t>
            </w:r>
          </w:p>
        </w:tc>
        <w:tc>
          <w:tcPr>
            <w:tcW w:w="7513" w:type="dxa"/>
            <w:gridSpan w:val="3"/>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2023年政府性基金预算支出</w:t>
            </w:r>
          </w:p>
        </w:tc>
      </w:tr>
      <w:tr>
        <w:trPr>
          <w:trHeight w:hRule="exact" w:val="567"/>
        </w:trPr>
        <w:tc>
          <w:tcPr>
            <w:tcW w:w="2977" w:type="dxa"/>
            <w:vMerge/>
            <w:tcBorders>
              <w:top w:val="single" w:sz="4" w:space="0" w:color="auto"/>
              <w:left w:val="single" w:sz="4" w:space="0" w:color="auto"/>
              <w:bottom w:val="single" w:sz="4" w:space="0" w:color="auto"/>
              <w:right w:val="single" w:sz="4" w:space="0" w:color="auto"/>
            </w:tcBorders>
            <w:vAlign w:val="center"/>
          </w:tcPr>
          <w:p/>
        </w:tc>
        <w:tc>
          <w:tcPr>
            <w:tcW w:w="3402" w:type="dxa"/>
            <w:vMerge/>
            <w:tcBorders>
              <w:top w:val="nil"/>
              <w:left w:val="single" w:sz="4" w:space="0" w:color="auto"/>
              <w:bottom w:val="single" w:sz="4" w:space="0" w:color="auto"/>
              <w:right w:val="single" w:sz="4" w:space="0" w:color="auto"/>
            </w:tcBorders>
            <w:vAlign w:val="center"/>
          </w:tcPr>
          <w:p/>
        </w:tc>
        <w:tc>
          <w:tcPr>
            <w:tcW w:w="2552" w:type="dxa"/>
            <w:tcBorders>
              <w:top w:val="nil"/>
              <w:left w:val="nil"/>
              <w:bottom w:val="nil"/>
              <w:right w:val="single" w:sz="4" w:space="0" w:color="auto"/>
            </w:tcBorders>
            <w:shd w:val="clear" w:color="auto" w:fill="auto"/>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合计</w:t>
            </w:r>
          </w:p>
        </w:tc>
        <w:tc>
          <w:tcPr>
            <w:tcW w:w="2551" w:type="dxa"/>
            <w:tcBorders>
              <w:top w:val="nil"/>
              <w:left w:val="nil"/>
              <w:bottom w:val="single" w:sz="4" w:space="0" w:color="auto"/>
              <w:right w:val="nil"/>
            </w:tcBorders>
            <w:shd w:val="clear" w:color="auto" w:fill="auto"/>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基本支出</w:t>
            </w:r>
          </w:p>
        </w:tc>
        <w:tc>
          <w:tcPr>
            <w:tcW w:w="2410" w:type="dxa"/>
            <w:tcBorders>
              <w:top w:val="nil"/>
              <w:left w:val="single" w:sz="4" w:space="0" w:color="auto"/>
              <w:bottom w:val="nil"/>
              <w:right w:val="single" w:sz="4" w:space="0" w:color="auto"/>
            </w:tcBorders>
            <w:shd w:val="clear" w:color="auto" w:fill="auto"/>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项目支出</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2"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410"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kern w:val="0"/>
                <w:sz w:val="20"/>
                <w:szCs w:val="20"/>
              </w:rPr>
            </w:pPr>
            <w:r>
              <w:rPr>
                <w:rFonts w:ascii="Times New Roman" w:cs="Times New Roman" w:hAnsi="Times New Roman"/>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r>
      <w:tr>
        <w:trPr>
          <w:trHeight w:hRule="exact" w:val="567"/>
        </w:trPr>
        <w:tc>
          <w:tcPr>
            <w:tcW w:w="637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合  计</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　</w:t>
            </w:r>
          </w:p>
        </w:tc>
      </w:tr>
    </w:tbl>
    <w:p>
      <w:pPr>
        <w:rPr>
          <w:rFonts w:ascii="Times New Roman" w:eastAsia="方正仿宋_GBK" w:cs="Times New Roman" w:hAnsi="Times New Roman"/>
          <w:sz w:val="24"/>
          <w:szCs w:val="24"/>
        </w:rPr>
      </w:pPr>
      <w:r>
        <w:rPr>
          <w:rFonts w:ascii="Times New Roman" w:eastAsia="方正仿宋_GBK" w:cs="Times New Roman" w:hAnsi="Times New Roman"/>
          <w:sz w:val="24"/>
          <w:szCs w:val="24"/>
        </w:rPr>
        <w:t>注：海关总署无政府性基金预算拨款收入，也无使用政府性基金安排的支出，故本表无数据。</w:t>
      </w:r>
    </w:p>
    <w:p>
      <w:pPr>
        <w:jc w:val="center"/>
        <w:rPr>
          <w:rFonts w:ascii="Times New Roman" w:eastAsia="方正仿宋_GBK" w:cs="Times New Roman" w:hAnsi="Times New Roman"/>
          <w:sz w:val="32"/>
          <w:szCs w:val="32"/>
        </w:rPr>
      </w:pPr>
    </w:p>
    <w:p>
      <w:pPr>
        <w:jc w:val="center"/>
        <w:rPr>
          <w:rFonts w:ascii="Times New Roman" w:eastAsia="方正仿宋_GBK" w:cs="Times New Roman" w:hAnsi="Times New Roman"/>
          <w:sz w:val="32"/>
          <w:szCs w:val="32"/>
        </w:rPr>
      </w:pPr>
    </w:p>
    <w:p>
      <w:pPr>
        <w:jc w:val="center"/>
        <w:rPr>
          <w:rFonts w:ascii="Times New Roman" w:eastAsia="方正仿宋_GBK" w:cs="Times New Roman" w:hAnsi="Times New Roman"/>
          <w:sz w:val="32"/>
          <w:szCs w:val="32"/>
        </w:rPr>
      </w:pPr>
    </w:p>
    <w:tbl>
      <w:tblPr>
        <w:jc w:val="center"/>
        <w:tblW w:w="1408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119"/>
        <w:gridCol w:w="3402"/>
        <w:gridCol w:w="2551"/>
        <w:gridCol w:w="2410"/>
        <w:gridCol w:w="2598"/>
      </w:tblGrid>
      <w:tr>
        <w:trPr>
          <w:trHeight w:val="285"/>
        </w:trPr>
        <w:tc>
          <w:tcPr>
            <w:tcW w:w="3119" w:type="dxa"/>
            <w:tcBorders>
              <w:top w:val="nil"/>
              <w:left w:val="nil"/>
              <w:bottom w:val="nil"/>
              <w:right w:val="nil"/>
            </w:tcBorders>
            <w:shd w:val="clear" w:color="auto" w:fill="auto"/>
            <w:noWrap/>
            <w:vAlign w:val="center"/>
          </w:tcPr>
          <w:p>
            <w:pPr>
              <w:widowControl/>
              <w:jc w:val="left"/>
              <w:rPr>
                <w:rFonts w:ascii="Times New Roman" w:cs="Times New Roman" w:hAnsi="Times New Roman"/>
                <w:kern w:val="0"/>
                <w:sz w:val="24"/>
                <w:szCs w:val="24"/>
              </w:rPr>
            </w:pPr>
          </w:p>
        </w:tc>
        <w:tc>
          <w:tcPr>
            <w:tcW w:w="3402"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551"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410"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598" w:type="dxa"/>
            <w:tcBorders>
              <w:top w:val="nil"/>
              <w:left w:val="nil"/>
              <w:bottom w:val="nil"/>
              <w:right w:val="nil"/>
            </w:tcBorders>
            <w:shd w:val="clear" w:color="auto" w:fill="auto"/>
            <w:noWrap/>
            <w:vAlign w:val="center"/>
          </w:tcPr>
          <w:p>
            <w:pPr>
              <w:widowControl/>
              <w:jc w:val="right"/>
              <w:rPr>
                <w:rFonts w:ascii="Times New Roman" w:eastAsia="黑体" w:cs="Times New Roman" w:hAnsi="Times New Roman"/>
                <w:kern w:val="0"/>
                <w:sz w:val="20"/>
                <w:szCs w:val="20"/>
              </w:rPr>
            </w:pPr>
            <w:r>
              <w:rPr>
                <w:rFonts w:ascii="Times New Roman" w:eastAsia="黑体" w:cs="Times New Roman" w:hAnsi="Times New Roman"/>
                <w:kern w:val="0"/>
                <w:sz w:val="20"/>
                <w:szCs w:val="20"/>
              </w:rPr>
              <w:t>部门公开表8</w:t>
            </w:r>
          </w:p>
        </w:tc>
      </w:tr>
      <w:tr>
        <w:trPr>
          <w:trHeight w:val="450"/>
        </w:trPr>
        <w:tc>
          <w:tcPr>
            <w:tcW w:w="14080" w:type="dxa"/>
            <w:gridSpan w:val="5"/>
            <w:tcBorders>
              <w:top w:val="nil"/>
              <w:left w:val="nil"/>
              <w:bottom w:val="nil"/>
              <w:right w:val="nil"/>
            </w:tcBorders>
            <w:shd w:val="clear" w:color="auto" w:fill="auto"/>
            <w:vAlign w:val="center"/>
          </w:tcPr>
          <w:p>
            <w:pPr>
              <w:widowControl/>
              <w:jc w:val="center"/>
              <w:rPr>
                <w:rFonts w:ascii="Times New Roman" w:cs="Times New Roman" w:hAnsi="Times New Roman"/>
                <w:kern w:val="0"/>
                <w:sz w:val="36"/>
                <w:szCs w:val="36"/>
              </w:rPr>
            </w:pPr>
            <w:r>
              <w:rPr>
                <w:rFonts w:ascii="Times New Roman" w:cs="Times New Roman" w:hAnsi="Times New Roman"/>
                <w:kern w:val="0"/>
                <w:sz w:val="36"/>
                <w:szCs w:val="36"/>
              </w:rPr>
              <w:t>国有资本经营预算支出表</w:t>
            </w:r>
          </w:p>
        </w:tc>
      </w:tr>
      <w:tr>
        <w:trPr>
          <w:trHeight w:val="285"/>
        </w:trPr>
        <w:tc>
          <w:tcPr>
            <w:tcW w:w="3119" w:type="dxa"/>
            <w:tcBorders>
              <w:top w:val="nil"/>
              <w:left w:val="nil"/>
              <w:bottom w:val="single" w:sz="4" w:space="0" w:color="auto"/>
              <w:right w:val="nil"/>
            </w:tcBorders>
            <w:shd w:val="clear" w:color="auto" w:fill="auto"/>
            <w:noWrap/>
            <w:vAlign w:val="center"/>
          </w:tcPr>
          <w:p>
            <w:pPr>
              <w:widowControl/>
              <w:jc w:val="left"/>
              <w:rPr>
                <w:rFonts w:ascii="Times New Roman" w:cs="Times New Roman" w:hAnsi="Times New Roman"/>
                <w:color w:val="000000"/>
                <w:kern w:val="0"/>
                <w:sz w:val="18"/>
                <w:szCs w:val="18"/>
              </w:rPr>
            </w:pPr>
            <w:r>
              <w:rPr>
                <w:rFonts w:ascii="Times New Roman" w:cs="Times New Roman" w:hAnsi="Times New Roman"/>
                <w:color w:val="000000"/>
                <w:kern w:val="0"/>
                <w:sz w:val="18"/>
                <w:szCs w:val="18"/>
              </w:rPr>
              <w:t>　</w:t>
            </w:r>
          </w:p>
        </w:tc>
        <w:tc>
          <w:tcPr>
            <w:tcW w:w="3402" w:type="dxa"/>
            <w:tcBorders>
              <w:top w:val="nil"/>
              <w:left w:val="nil"/>
              <w:bottom w:val="single" w:sz="4" w:space="0" w:color="auto"/>
              <w:right w:val="nil"/>
            </w:tcBorders>
            <w:shd w:val="clear" w:color="auto" w:fill="auto"/>
            <w:noWrap/>
            <w:vAlign w:val="center"/>
          </w:tcPr>
          <w:p>
            <w:pPr>
              <w:widowControl/>
              <w:jc w:val="left"/>
              <w:rPr>
                <w:rFonts w:ascii="Times New Roman" w:cs="Times New Roman" w:hAnsi="Times New Roman"/>
                <w:color w:val="000000"/>
                <w:kern w:val="0"/>
                <w:sz w:val="22"/>
              </w:rPr>
            </w:pPr>
            <w:r>
              <w:rPr>
                <w:rFonts w:ascii="Times New Roman" w:cs="Times New Roman" w:hAnsi="Times New Roman"/>
                <w:color w:val="000000"/>
                <w:kern w:val="0"/>
                <w:sz w:val="22"/>
              </w:rPr>
              <w:t>　</w:t>
            </w:r>
          </w:p>
        </w:tc>
        <w:tc>
          <w:tcPr>
            <w:tcW w:w="2551" w:type="dxa"/>
            <w:tcBorders>
              <w:top w:val="nil"/>
              <w:left w:val="nil"/>
              <w:bottom w:val="single" w:sz="4" w:space="0" w:color="auto"/>
              <w:right w:val="nil"/>
            </w:tcBorders>
            <w:shd w:val="clear" w:color="auto" w:fill="auto"/>
            <w:noWrap/>
            <w:vAlign w:val="center"/>
          </w:tcPr>
          <w:p>
            <w:pPr>
              <w:widowControl/>
              <w:jc w:val="center"/>
              <w:rPr>
                <w:rFonts w:ascii="Times New Roman" w:cs="Times New Roman" w:hAnsi="Times New Roman"/>
                <w:color w:val="000000"/>
                <w:kern w:val="0"/>
                <w:sz w:val="22"/>
              </w:rPr>
            </w:pPr>
            <w:r>
              <w:rPr>
                <w:rFonts w:ascii="Times New Roman" w:cs="Times New Roman" w:hAnsi="Times New Roman"/>
                <w:color w:val="000000"/>
                <w:kern w:val="0"/>
                <w:sz w:val="22"/>
              </w:rPr>
              <w:t>　</w:t>
            </w:r>
          </w:p>
        </w:tc>
        <w:tc>
          <w:tcPr>
            <w:tcW w:w="2410" w:type="dxa"/>
            <w:tcBorders>
              <w:top w:val="nil"/>
              <w:left w:val="nil"/>
              <w:bottom w:val="single" w:sz="4" w:space="0" w:color="auto"/>
              <w:right w:val="nil"/>
            </w:tcBorders>
            <w:shd w:val="clear" w:color="auto" w:fill="auto"/>
            <w:noWrap/>
            <w:vAlign w:val="center"/>
          </w:tcPr>
          <w:p>
            <w:pPr>
              <w:widowControl/>
              <w:jc w:val="center"/>
              <w:rPr>
                <w:rFonts w:ascii="Times New Roman" w:cs="Times New Roman" w:hAnsi="Times New Roman"/>
                <w:color w:val="000000"/>
                <w:kern w:val="0"/>
                <w:sz w:val="22"/>
              </w:rPr>
            </w:pPr>
            <w:r>
              <w:rPr>
                <w:rFonts w:ascii="Times New Roman" w:cs="Times New Roman" w:hAnsi="Times New Roman"/>
                <w:color w:val="000000"/>
                <w:kern w:val="0"/>
                <w:sz w:val="22"/>
              </w:rPr>
              <w:t>　</w:t>
            </w:r>
          </w:p>
        </w:tc>
        <w:tc>
          <w:tcPr>
            <w:tcW w:w="2598" w:type="dxa"/>
            <w:tcBorders>
              <w:top w:val="nil"/>
              <w:left w:val="nil"/>
              <w:bottom w:val="nil"/>
              <w:right w:val="nil"/>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单位：万元</w:t>
            </w:r>
          </w:p>
        </w:tc>
      </w:tr>
      <w:tr>
        <w:trPr>
          <w:trHeight w:hRule="exact" w:val="567"/>
        </w:trPr>
        <w:tc>
          <w:tcPr>
            <w:tcW w:w="3119"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科目编码</w:t>
            </w:r>
          </w:p>
        </w:tc>
        <w:tc>
          <w:tcPr>
            <w:tcW w:w="3402"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科目名称</w:t>
            </w:r>
          </w:p>
        </w:tc>
        <w:tc>
          <w:tcPr>
            <w:tcW w:w="7559" w:type="dxa"/>
            <w:gridSpan w:val="3"/>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2023年国有资本经营预算支出</w:t>
            </w:r>
          </w:p>
        </w:tc>
      </w:tr>
      <w:tr>
        <w:trPr>
          <w:trHeight w:hRule="exact" w:val="567"/>
        </w:trPr>
        <w:tc>
          <w:tcPr>
            <w:tcW w:w="3119" w:type="dxa"/>
            <w:vMerge/>
            <w:tcBorders>
              <w:top w:val="nil"/>
              <w:left w:val="single" w:sz="4" w:space="0" w:color="auto"/>
              <w:bottom w:val="single" w:sz="4" w:space="0" w:color="auto"/>
              <w:right w:val="single" w:sz="4" w:space="0" w:color="auto"/>
            </w:tcBorders>
            <w:vAlign w:val="center"/>
          </w:tcPr>
          <w:p/>
        </w:tc>
        <w:tc>
          <w:tcPr>
            <w:tcW w:w="3402" w:type="dxa"/>
            <w:vMerge/>
            <w:tcBorders>
              <w:top w:val="nil"/>
              <w:left w:val="single" w:sz="4" w:space="0" w:color="auto"/>
              <w:bottom w:val="single" w:sz="4" w:space="0" w:color="auto"/>
              <w:right w:val="single" w:sz="4" w:space="0" w:color="auto"/>
            </w:tcBorders>
            <w:vAlign w:val="center"/>
          </w:tcPr>
          <w:p/>
        </w:tc>
        <w:tc>
          <w:tcPr>
            <w:tcW w:w="2551"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小计</w:t>
            </w:r>
          </w:p>
        </w:tc>
        <w:tc>
          <w:tcPr>
            <w:tcW w:w="2410"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基本支出</w:t>
            </w:r>
          </w:p>
        </w:tc>
        <w:tc>
          <w:tcPr>
            <w:tcW w:w="2598"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项目支出</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r>
      <w:tr>
        <w:trPr>
          <w:trHeight w:hRule="exact" w:val="567"/>
        </w:trPr>
        <w:tc>
          <w:tcPr>
            <w:tcW w:w="65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合   计</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r>
    </w:tbl>
    <w:p>
      <w:pPr>
        <w:rPr>
          <w:rFonts w:ascii="Times New Roman" w:eastAsia="方正仿宋_GBK" w:cs="Times New Roman" w:hAnsi="Times New Roman"/>
          <w:sz w:val="24"/>
          <w:szCs w:val="24"/>
        </w:rPr>
      </w:pPr>
      <w:r>
        <w:rPr>
          <w:rFonts w:ascii="Times New Roman" w:eastAsia="方正仿宋_GBK" w:cs="Times New Roman" w:hAnsi="Times New Roman"/>
          <w:sz w:val="24"/>
          <w:szCs w:val="24"/>
        </w:rPr>
        <w:t>注：海关总署无国有资本经营预算收入，也无国有资本经营预算安排的支出，故本表无数据。</w:t>
      </w:r>
    </w:p>
    <w:p>
      <w:pPr>
        <w:rPr>
          <w:rFonts w:ascii="Times New Roman" w:eastAsia="方正仿宋_GBK" w:cs="Times New Roman" w:hAnsi="Times New Roman"/>
          <w:sz w:val="32"/>
          <w:szCs w:val="32"/>
        </w:rPr>
      </w:pPr>
    </w:p>
    <w:p>
      <w:pPr>
        <w:rPr>
          <w:rFonts w:ascii="Times New Roman" w:eastAsia="方正仿宋_GBK" w:cs="Times New Roman" w:hAnsi="Times New Roman"/>
          <w:sz w:val="32"/>
          <w:szCs w:val="32"/>
        </w:rPr>
        <w:sectPr>
          <w:pgSz w:w="16838" w:h="11906" w:orient="landscape"/>
          <w:pgMar w:top="1800" w:right="1440" w:bottom="1800" w:left="1440" w:header="851" w:footer="992" w:gutter="0"/>
          <w:cols w:num="1" w:space="720"/>
          <w:docGrid w:type="lines" w:linePitch="312" w:charSpace="0"/>
        </w:sectPr>
      </w:pPr>
      <w:r>
        <w:drawing>
          <wp:inline distT="0" distB="0" distL="0" distR="0">
            <wp:extent cx="8862191" cy="1495425"/>
            <wp:effectExtent l="0" t="0" r="0" b="0"/>
            <wp:docPr id="16" name="图片 16"/>
            <wp:cNvGraphicFramePr>
              <a:graphicFrameLocks noChangeAspect="1"/>
            </wp:cNvGraphicFramePr>
            <a:graphic>
              <a:graphicData uri="http://schemas.openxmlformats.org/drawingml/2006/picture">
                <pic:pic>
                  <pic:nvPicPr>
                    <pic:cNvPr id="18" name="图片 16 18"/>
                    <pic:cNvPicPr/>
                  </pic:nvPicPr>
                  <pic:blipFill>
                    <a:blip r:embed="rId7"/>
                    <a:stretch>
                      <a:fillRect/>
                    </a:stretch>
                  </pic:blipFill>
                  <pic:spPr>
                    <a:xfrm rot="0">
                      <a:off x="0" y="0"/>
                      <a:ext cx="8862191" cy="1495425"/>
                    </a:xfrm>
                    <a:prstGeom prst="rect"/>
                    <a:noFill/>
                    <a:ln w="9525" cmpd="sng" cap="flat">
                      <a:noFill/>
                      <a:prstDash val="solid"/>
                      <a:round/>
                    </a:ln>
                  </pic:spPr>
                </pic:pic>
              </a:graphicData>
            </a:graphic>
          </wp:inline>
        </w:drawing>
      </w:r>
    </w:p>
    <w:p>
      <w:pPr>
        <w:jc w:val="center"/>
        <w:rPr>
          <w:rFonts w:ascii="Times New Roman" w:cs="Times New Roman" w:hAnsi="Times New Roman"/>
          <w:b/>
          <w:sz w:val="84"/>
          <w:szCs w:val="84"/>
        </w:rPr>
      </w:pPr>
    </w:p>
    <w:p>
      <w:pPr>
        <w:jc w:val="center"/>
        <w:rPr>
          <w:rFonts w:ascii="Times New Roman" w:cs="Times New Roman" w:hAnsi="Times New Roman"/>
          <w:b/>
          <w:sz w:val="84"/>
          <w:szCs w:val="84"/>
        </w:rPr>
      </w:pPr>
    </w:p>
    <w:p>
      <w:pPr>
        <w:jc w:val="center"/>
        <w:rPr>
          <w:rFonts w:ascii="Times New Roman" w:cs="Times New Roman" w:hAnsi="Times New Roman"/>
          <w:b/>
          <w:sz w:val="84"/>
          <w:szCs w:val="84"/>
        </w:rPr>
      </w:pPr>
    </w:p>
    <w:p>
      <w:pPr>
        <w:jc w:val="center"/>
        <w:rPr>
          <w:rFonts w:ascii="Times New Roman" w:cs="Times New Roman" w:hAnsi="Times New Roman"/>
          <w:b/>
          <w:sz w:val="84"/>
          <w:szCs w:val="84"/>
        </w:rPr>
      </w:pPr>
    </w:p>
    <w:p>
      <w:pPr>
        <w:jc w:val="center"/>
        <w:rPr>
          <w:rFonts w:ascii="Times New Roman" w:cs="Times New Roman" w:hAnsi="Times New Roman"/>
          <w:b/>
          <w:sz w:val="84"/>
          <w:szCs w:val="84"/>
        </w:rPr>
      </w:pPr>
      <w:r>
        <w:rPr>
          <w:rFonts w:ascii="Times New Roman" w:cs="Times New Roman" w:hAnsi="Times New Roman"/>
          <w:b/>
          <w:sz w:val="84"/>
          <w:szCs w:val="84"/>
        </w:rPr>
        <w:t xml:space="preserve">第三部分  </w:t>
      </w:r>
    </w:p>
    <w:p>
      <w:pPr>
        <w:jc w:val="center"/>
        <w:rPr>
          <w:rFonts w:ascii="Times New Roman" w:cs="Times New Roman" w:hAnsi="Times New Roman"/>
          <w:b/>
          <w:sz w:val="72"/>
          <w:szCs w:val="72"/>
        </w:rPr>
      </w:pPr>
      <w:r>
        <w:rPr>
          <w:rFonts w:ascii="Times New Roman" w:cs="Times New Roman" w:hAnsi="Times New Roman"/>
          <w:b/>
          <w:sz w:val="72"/>
          <w:szCs w:val="72"/>
        </w:rPr>
        <w:t>徐州海关本级2026年</w:t>
      </w:r>
    </w:p>
    <w:p>
      <w:pPr>
        <w:jc w:val="center"/>
        <w:rPr>
          <w:rFonts w:ascii="Times New Roman" w:cs="Times New Roman" w:hAnsi="Times New Roman"/>
          <w:b/>
          <w:sz w:val="72"/>
          <w:szCs w:val="72"/>
        </w:rPr>
      </w:pPr>
      <w:r>
        <w:rPr>
          <w:rFonts w:ascii="Times New Roman" w:cs="Times New Roman" w:hAnsi="Times New Roman"/>
          <w:b/>
          <w:sz w:val="72"/>
          <w:szCs w:val="72"/>
        </w:rPr>
        <w:t>部门预算情况说明</w:t>
      </w:r>
    </w:p>
    <w:p>
      <w:pPr>
        <w:pStyle w:val="17"/>
        <w:spacing w:line="560" w:lineRule="exact"/>
        <w:rPr>
          <w:b/>
          <w:sz w:val="84"/>
          <w:szCs w:val="84"/>
        </w:rPr>
      </w:pPr>
      <w:r>
        <w:rPr>
          <w:b/>
          <w:sz w:val="84"/>
          <w:szCs w:val="84"/>
        </w:rPr>
        <w:t xml:space="preserve"> </w:t>
      </w:r>
    </w:p>
    <w:p>
      <w:pPr>
        <w:rPr>
          <w:rFonts w:ascii="Times New Roman" w:cs="Times New Roman" w:hAnsi="Times New Roman"/>
          <w:b/>
          <w:sz w:val="84"/>
          <w:szCs w:val="84"/>
        </w:rPr>
      </w:pPr>
      <w:r>
        <w:rPr>
          <w:rFonts w:ascii="Times New Roman" w:cs="Times New Roman" w:hAnsi="Times New Roman"/>
          <w:b/>
          <w:sz w:val="84"/>
          <w:szCs w:val="84"/>
        </w:rPr>
        <w:t xml:space="preserve"> </w:t>
      </w:r>
    </w:p>
    <w:p>
      <w:pPr>
        <w:rPr>
          <w:rFonts w:ascii="Times New Roman" w:cs="Times New Roman" w:hAnsi="Times New Roman"/>
          <w:b/>
          <w:sz w:val="84"/>
          <w:szCs w:val="84"/>
        </w:rPr>
      </w:pPr>
      <w:r>
        <w:rPr>
          <w:rFonts w:ascii="Times New Roman" w:cs="Times New Roman" w:hAnsi="Times New Roman"/>
          <w:b/>
          <w:sz w:val="84"/>
          <w:szCs w:val="84"/>
        </w:rPr>
        <w:t xml:space="preserve"> </w:t>
      </w:r>
    </w:p>
    <w:p>
      <w:pPr>
        <w:rPr>
          <w:rFonts w:ascii="Times New Roman" w:cs="Times New Roman" w:hAnsi="Times New Roman"/>
          <w:b/>
          <w:sz w:val="84"/>
          <w:szCs w:val="84"/>
        </w:rPr>
        <w:sectPr>
          <w:pgSz w:w="11906" w:h="16838"/>
          <w:pgMar w:top="1440" w:right="1800" w:bottom="1440" w:left="1800" w:header="851" w:footer="992" w:gutter="0"/>
          <w:cols w:num="1" w:space="720"/>
          <w:docGrid w:type="lines" w:linePitch="312" w:charSpace="0"/>
        </w:sectPr>
      </w:pPr>
      <w:r>
        <w:rPr>
          <w:rFonts w:ascii="Times New Roman" w:cs="Times New Roman" w:hAnsi="Times New Roman"/>
          <w:b/>
          <w:sz w:val="84"/>
          <w:szCs w:val="84"/>
        </w:rPr>
        <w:t xml:space="preserve"> </w:t>
      </w:r>
    </w:p>
    <w:p>
      <w:pPr>
        <w:pStyle w:val="17"/>
        <w:spacing w:line="560" w:lineRule="exact"/>
        <w:ind w:firstLineChars="200" w:firstLine="640"/>
        <w:rPr>
          <w:rFonts w:eastAsia="方正仿宋_GBK"/>
          <w:sz w:val="32"/>
          <w:szCs w:val="32"/>
        </w:rPr>
      </w:pPr>
      <w:r>
        <w:rPr>
          <w:rFonts w:eastAsia="方正黑体_GBK"/>
          <w:sz w:val="32"/>
          <w:szCs w:val="32"/>
        </w:rPr>
        <w:t>一、关于徐州海关本级2026年收支预算情况的总体说明</w:t>
      </w:r>
    </w:p>
    <w:p>
      <w:pPr>
        <w:pStyle w:val="17"/>
        <w:spacing w:line="560" w:lineRule="exact"/>
        <w:ind w:firstLineChars="200" w:firstLine="640"/>
        <w:rPr>
          <w:rFonts w:eastAsia="方正仿宋_GBK"/>
          <w:sz w:val="32"/>
          <w:szCs w:val="32"/>
        </w:rPr>
      </w:pPr>
      <w:r>
        <w:rPr>
          <w:rFonts w:eastAsia="方正仿宋_GBK"/>
          <w:sz w:val="32"/>
          <w:szCs w:val="32"/>
        </w:rPr>
        <w:t>按照综合预算的原则，海关所有收入和支出均纳入部门预算管理。收入包括：一般公共预算拨款收入、其他收入、使用非财政拨款结余、上年结转；支出包括：一般公共服务支出、外交支出、公共安全支出、教育支出、社会保障和就业支出、卫生健康支出、住房保障支出。徐州海关本级2026年收支总预算5418.13万元。</w:t>
      </w:r>
    </w:p>
    <w:p>
      <w:pPr>
        <w:pStyle w:val="17"/>
        <w:spacing w:line="560" w:lineRule="exact"/>
        <w:ind w:firstLineChars="200" w:firstLine="640"/>
        <w:rPr>
          <w:rFonts w:eastAsia="方正黑体_GBK"/>
          <w:sz w:val="32"/>
          <w:szCs w:val="32"/>
        </w:rPr>
      </w:pPr>
      <w:r>
        <w:rPr>
          <w:rFonts w:eastAsia="方正黑体_GBK"/>
          <w:sz w:val="32"/>
          <w:szCs w:val="32"/>
        </w:rPr>
        <w:t>二、关于徐州海关本级2026年收入预算情况说明</w:t>
      </w:r>
    </w:p>
    <w:p>
      <w:pPr>
        <w:pStyle w:val="17"/>
        <w:spacing w:line="560" w:lineRule="exact"/>
        <w:ind w:firstLineChars="200" w:firstLine="640"/>
        <w:rPr>
          <w:rFonts w:eastAsia="方正仿宋_GBK"/>
          <w:sz w:val="32"/>
          <w:szCs w:val="32"/>
        </w:rPr>
      </w:pPr>
      <w:r>
        <w:rPr>
          <w:rFonts w:eastAsia="方正仿宋_GBK"/>
          <w:sz w:val="32"/>
          <w:szCs w:val="32"/>
        </w:rPr>
        <w:t>徐州海关本级2026年收入预算5418.13万元，其中：</w:t>
      </w:r>
      <w:r>
        <w:rPr>
          <w:rFonts w:eastAsia="方正仿宋_GBK" w:hint="eastAsia"/>
          <w:sz w:val="32"/>
          <w:szCs w:val="32"/>
        </w:rPr>
        <w:t>上年</w:t>
      </w:r>
      <w:r>
        <w:rPr>
          <w:rFonts w:eastAsia="方正仿宋_GBK"/>
          <w:sz w:val="32"/>
          <w:szCs w:val="32"/>
        </w:rPr>
        <w:t>结转</w:t>
      </w:r>
      <w:r>
        <w:rPr>
          <w:rFonts w:eastAsia="方正仿宋_GBK" w:hint="eastAsia"/>
          <w:sz w:val="32"/>
          <w:szCs w:val="32"/>
        </w:rPr>
        <w:t>162.71，</w:t>
      </w:r>
      <w:r>
        <w:rPr>
          <w:rFonts w:eastAsia="方正仿宋_GBK"/>
          <w:sz w:val="32"/>
          <w:szCs w:val="32"/>
        </w:rPr>
        <w:t>占比</w:t>
      </w:r>
      <w:r>
        <w:rPr>
          <w:rFonts w:eastAsia="方正仿宋_GBK" w:hint="eastAsia"/>
          <w:sz w:val="32"/>
          <w:szCs w:val="32"/>
        </w:rPr>
        <w:t>3</w:t>
      </w:r>
      <w:r>
        <w:rPr>
          <w:rFonts w:eastAsia="方正仿宋_GBK"/>
          <w:sz w:val="32"/>
          <w:szCs w:val="32"/>
        </w:rPr>
        <w:t>%</w:t>
      </w:r>
      <w:r>
        <w:rPr>
          <w:rFonts w:eastAsia="方正仿宋_GBK" w:hint="eastAsia"/>
          <w:sz w:val="32"/>
          <w:szCs w:val="32"/>
        </w:rPr>
        <w:t>；</w:t>
      </w:r>
      <w:r>
        <w:rPr>
          <w:rFonts w:eastAsia="方正仿宋_GBK"/>
          <w:sz w:val="32"/>
          <w:szCs w:val="32"/>
        </w:rPr>
        <w:t>一般公共预算财政拨款2818.12万元，占</w:t>
      </w:r>
      <w:r>
        <w:rPr>
          <w:rFonts w:eastAsia="方正仿宋_GBK" w:hint="eastAsia"/>
          <w:sz w:val="32"/>
          <w:szCs w:val="32"/>
        </w:rPr>
        <w:t>比</w:t>
      </w:r>
      <w:r>
        <w:rPr>
          <w:rFonts w:eastAsia="方正仿宋_GBK"/>
          <w:sz w:val="32"/>
          <w:szCs w:val="32"/>
        </w:rPr>
        <w:t>52.01%；其他收入2437.3万元，占44.99%。</w:t>
      </w:r>
    </w:p>
    <w:p>
      <w:pPr>
        <w:pStyle w:val="17"/>
        <w:spacing w:line="560" w:lineRule="exact"/>
        <w:ind w:firstLineChars="200" w:firstLine="640"/>
        <w:rPr>
          <w:rFonts w:eastAsia="方正黑体_GBK"/>
          <w:sz w:val="32"/>
          <w:szCs w:val="32"/>
        </w:rPr>
      </w:pPr>
      <w:r>
        <w:rPr>
          <w:rFonts w:eastAsia="方正黑体_GBK"/>
          <w:sz w:val="32"/>
          <w:szCs w:val="32"/>
        </w:rPr>
        <w:t>三、关于徐州海关本级2026年支出预算情况说明</w:t>
      </w:r>
    </w:p>
    <w:p>
      <w:pPr>
        <w:pStyle w:val="17"/>
        <w:spacing w:line="560" w:lineRule="exact"/>
        <w:ind w:firstLineChars="200" w:firstLine="640"/>
        <w:rPr>
          <w:rFonts w:eastAsia="方正仿宋_GBK"/>
          <w:sz w:val="32"/>
          <w:szCs w:val="32"/>
        </w:rPr>
      </w:pPr>
      <w:r>
        <w:rPr>
          <w:rFonts w:eastAsia="方正仿宋_GBK"/>
          <w:sz w:val="32"/>
          <w:szCs w:val="32"/>
        </w:rPr>
        <w:t>徐州海关本级2026年支出预算5418.13万元，其中：一般公共服务支出3048.77万元，占56.27%；公共安全支出597.60万元，占11.03%；社会保障和就业支出381.09万元，占7.03%；卫生健康支出222.67万元，占4.11%；住房保障支出1168万元，占21.56%。</w:t>
      </w:r>
    </w:p>
    <w:p>
      <w:pPr>
        <w:pStyle w:val="17"/>
        <w:spacing w:line="560" w:lineRule="exact"/>
        <w:rPr>
          <w:sz w:val="32"/>
          <w:szCs w:val="32"/>
        </w:rPr>
      </w:pPr>
      <w:r>
        <w:rPr>
          <w:sz w:val="32"/>
          <w:szCs w:val="32"/>
        </w:rPr>
        <w:drawing>
          <wp:anchor distT="0" distB="0" distL="68578" distR="68578" simplePos="0" relativeHeight="53" behindDoc="0" locked="0" layoutInCell="1" hidden="0" allowOverlap="1">
            <wp:simplePos x="0" y="0"/>
            <wp:positionH relativeFrom="column">
              <wp:posOffset>937245</wp:posOffset>
            </wp:positionH>
            <wp:positionV relativeFrom="paragraph">
              <wp:posOffset>134671</wp:posOffset>
            </wp:positionV>
            <wp:extent cx="3800473" cy="2334200"/>
            <wp:effectExtent l="0" t="0" r="0" b="0"/>
            <wp:wrapNone/>
            <wp:docPr id="19" name="图片 19"/>
            <wp:cNvGraphicFramePr>
              <a:graphicFrameLocks noChangeAspect="1"/>
            </wp:cNvGraphicFramePr>
            <a:graphic>
              <a:graphicData uri="http://schemas.openxmlformats.org/drawingml/2006/picture">
                <pic:pic>
                  <pic:nvPicPr>
                    <pic:cNvPr id="21" name="图片 19 21"/>
                    <pic:cNvPicPr/>
                  </pic:nvPicPr>
                  <pic:blipFill>
                    <a:blip r:embed="rId8"/>
                    <a:stretch>
                      <a:fillRect/>
                    </a:stretch>
                  </pic:blipFill>
                  <pic:spPr>
                    <a:xfrm rot="0">
                      <a:off x="0" y="0"/>
                      <a:ext cx="3800473" cy="2334200"/>
                    </a:xfrm>
                    <a:prstGeom prst="rect"/>
                    <a:noFill/>
                    <a:ln w="9525" cmpd="sng" cap="flat">
                      <a:noFill/>
                      <a:prstDash val="solid"/>
                      <a:miter/>
                    </a:ln>
                  </pic:spPr>
                </pic:pic>
              </a:graphicData>
            </a:graphic>
          </wp:anchor>
        </w:drawing>
      </w:r>
    </w:p>
    <w:p>
      <w:pPr>
        <w:pStyle w:val="17"/>
        <w:spacing w:line="560" w:lineRule="exact"/>
        <w:rPr>
          <w:sz w:val="32"/>
          <w:szCs w:val="32"/>
        </w:rPr>
      </w:pPr>
    </w:p>
    <w:p>
      <w:pPr>
        <w:pStyle w:val="17"/>
        <w:spacing w:line="560" w:lineRule="exact"/>
        <w:rPr>
          <w:sz w:val="32"/>
          <w:szCs w:val="32"/>
        </w:rPr>
      </w:pPr>
    </w:p>
    <w:p>
      <w:pPr>
        <w:pStyle w:val="17"/>
        <w:spacing w:line="560" w:lineRule="exact"/>
        <w:rPr>
          <w:sz w:val="32"/>
          <w:szCs w:val="32"/>
        </w:rPr>
      </w:pPr>
    </w:p>
    <w:p>
      <w:pPr>
        <w:pStyle w:val="17"/>
        <w:spacing w:line="560" w:lineRule="exact"/>
        <w:rPr>
          <w:sz w:val="32"/>
          <w:szCs w:val="32"/>
        </w:rPr>
      </w:pPr>
    </w:p>
    <w:p>
      <w:pPr>
        <w:pStyle w:val="17"/>
        <w:spacing w:line="560" w:lineRule="exact"/>
        <w:rPr>
          <w:sz w:val="32"/>
          <w:szCs w:val="32"/>
        </w:rPr>
      </w:pPr>
    </w:p>
    <w:p>
      <w:pPr>
        <w:pStyle w:val="17"/>
        <w:spacing w:line="560" w:lineRule="exact"/>
        <w:rPr>
          <w:sz w:val="32"/>
          <w:szCs w:val="32"/>
        </w:rPr>
      </w:pPr>
    </w:p>
    <w:p>
      <w:pPr>
        <w:pStyle w:val="17"/>
        <w:spacing w:line="560" w:lineRule="exact"/>
        <w:ind w:firstLineChars="200" w:firstLine="640"/>
        <w:rPr>
          <w:rFonts w:eastAsia="方正黑体_GBK"/>
          <w:sz w:val="32"/>
          <w:szCs w:val="32"/>
        </w:rPr>
      </w:pPr>
      <w:r>
        <w:rPr>
          <w:rFonts w:eastAsia="方正黑体_GBK"/>
          <w:sz w:val="32"/>
          <w:szCs w:val="32"/>
        </w:rPr>
        <w:t>四、关于徐州海关本级2026年财政拨款收支预算情况的总体说明</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徐州海关本级2026年财政拨款收支总预算2818.13万元。收入全部为一般公共预算拨款，无政府性基金预算拨款和国有资本经营预算拨款。收入包括：</w:t>
      </w:r>
      <w:r>
        <w:rPr>
          <w:rFonts w:ascii="Times New Roman" w:eastAsia="方正仿宋_GBK" w:cs="Times New Roman" w:hAnsi="Times New Roman" w:hint="eastAsia"/>
          <w:sz w:val="32"/>
          <w:szCs w:val="32"/>
        </w:rPr>
        <w:t>上年</w:t>
      </w:r>
      <w:r>
        <w:rPr>
          <w:rFonts w:ascii="Times New Roman" w:eastAsia="方正仿宋_GBK" w:cs="Times New Roman" w:hAnsi="Times New Roman"/>
          <w:sz w:val="32"/>
          <w:szCs w:val="32"/>
        </w:rPr>
        <w:t>结转</w:t>
      </w:r>
      <w:r>
        <w:rPr>
          <w:rFonts w:ascii="Times New Roman" w:eastAsia="方正仿宋_GBK" w:cs="Times New Roman" w:hAnsi="Times New Roman" w:hint="eastAsia"/>
          <w:sz w:val="32"/>
          <w:szCs w:val="32"/>
        </w:rPr>
        <w:t>0.01万元</w:t>
      </w:r>
      <w:r>
        <w:rPr>
          <w:rFonts w:ascii="Times New Roman" w:eastAsia="方正仿宋_GBK" w:cs="Times New Roman" w:hAnsi="Times New Roman"/>
          <w:sz w:val="32"/>
          <w:szCs w:val="32"/>
        </w:rPr>
        <w:t>；一般公共预算当年财政拨款收入2818.12万元。支出包括：一般公共服务支出1598.77万元、公共安全支出297.60万元、社会保障和就业支出291.09万元、卫生健康支出162.67万元、住房保障支出468万元。</w:t>
      </w:r>
    </w:p>
    <w:p>
      <w:pPr>
        <w:spacing w:line="560" w:lineRule="exact"/>
        <w:ind w:firstLineChars="200" w:firstLine="640"/>
        <w:rPr>
          <w:rFonts w:ascii="Times New Roman" w:eastAsia="方正黑体_GBK" w:cs="Times New Roman" w:hAnsi="Times New Roman"/>
          <w:sz w:val="32"/>
          <w:szCs w:val="32"/>
        </w:rPr>
      </w:pPr>
      <w:r>
        <w:rPr>
          <w:rFonts w:ascii="Times New Roman" w:eastAsia="方正黑体_GBK" w:cs="Times New Roman" w:hAnsi="Times New Roman"/>
          <w:sz w:val="32"/>
          <w:szCs w:val="32"/>
        </w:rPr>
        <w:drawing>
          <wp:anchor distT="0" distB="0" distL="68578" distR="68578" simplePos="0" relativeHeight="55" behindDoc="0" locked="0" layoutInCell="1" hidden="0" allowOverlap="1">
            <wp:simplePos x="0" y="0"/>
            <wp:positionH relativeFrom="column">
              <wp:posOffset>1000750</wp:posOffset>
            </wp:positionH>
            <wp:positionV relativeFrom="paragraph">
              <wp:posOffset>208276</wp:posOffset>
            </wp:positionV>
            <wp:extent cx="3472519" cy="2123438"/>
            <wp:effectExtent l="0" t="0" r="0" b="0"/>
            <wp:wrapNone/>
            <wp:docPr id="22" name="图片 22"/>
            <wp:cNvGraphicFramePr>
              <a:graphicFrameLocks noChangeAspect="1"/>
            </wp:cNvGraphicFramePr>
            <a:graphic>
              <a:graphicData uri="http://schemas.openxmlformats.org/drawingml/2006/picture">
                <pic:pic>
                  <pic:nvPicPr>
                    <pic:cNvPr id="24" name="图片 22 24"/>
                    <pic:cNvPicPr/>
                  </pic:nvPicPr>
                  <pic:blipFill>
                    <a:blip r:embed="rId9"/>
                    <a:stretch>
                      <a:fillRect/>
                    </a:stretch>
                  </pic:blipFill>
                  <pic:spPr>
                    <a:xfrm rot="0">
                      <a:off x="0" y="0"/>
                      <a:ext cx="3472519" cy="2123438"/>
                    </a:xfrm>
                    <a:prstGeom prst="rect"/>
                    <a:noFill/>
                    <a:ln w="9525" cmpd="sng" cap="flat">
                      <a:noFill/>
                      <a:prstDash val="solid"/>
                      <a:miter/>
                    </a:ln>
                  </pic:spPr>
                </pic:pic>
              </a:graphicData>
            </a:graphic>
          </wp:anchor>
        </w:drawing>
      </w:r>
    </w:p>
    <w:p>
      <w:pPr>
        <w:spacing w:line="560" w:lineRule="exact"/>
        <w:ind w:firstLineChars="200" w:firstLine="640"/>
        <w:rPr>
          <w:rFonts w:ascii="Times New Roman" w:eastAsia="方正黑体_GBK" w:cs="Times New Roman" w:hAnsi="Times New Roman"/>
          <w:sz w:val="32"/>
          <w:szCs w:val="32"/>
        </w:rPr>
      </w:pPr>
    </w:p>
    <w:p>
      <w:pPr>
        <w:spacing w:line="560" w:lineRule="exact"/>
        <w:ind w:firstLineChars="200" w:firstLine="640"/>
        <w:rPr>
          <w:rFonts w:ascii="Times New Roman" w:eastAsia="方正黑体_GBK" w:cs="Times New Roman" w:hAnsi="Times New Roman"/>
          <w:sz w:val="32"/>
          <w:szCs w:val="32"/>
        </w:rPr>
      </w:pPr>
    </w:p>
    <w:p>
      <w:pPr>
        <w:spacing w:line="560" w:lineRule="exact"/>
        <w:ind w:firstLineChars="200" w:firstLine="640"/>
        <w:rPr>
          <w:rFonts w:ascii="Times New Roman" w:eastAsia="方正黑体_GBK" w:cs="Times New Roman" w:hAnsi="Times New Roman"/>
          <w:sz w:val="32"/>
          <w:szCs w:val="32"/>
        </w:rPr>
      </w:pPr>
    </w:p>
    <w:p>
      <w:pPr>
        <w:spacing w:line="560" w:lineRule="exact"/>
        <w:ind w:firstLineChars="200" w:firstLine="640"/>
        <w:rPr>
          <w:rFonts w:ascii="Times New Roman" w:eastAsia="方正黑体_GBK" w:cs="Times New Roman" w:hAnsi="Times New Roman"/>
          <w:sz w:val="32"/>
          <w:szCs w:val="32"/>
        </w:rPr>
      </w:pPr>
    </w:p>
    <w:p>
      <w:pPr>
        <w:spacing w:line="560" w:lineRule="exact"/>
        <w:ind w:firstLineChars="200" w:firstLine="640"/>
        <w:rPr>
          <w:rFonts w:ascii="Times New Roman" w:eastAsia="方正黑体_GBK" w:cs="Times New Roman" w:hAnsi="Times New Roman"/>
          <w:sz w:val="32"/>
          <w:szCs w:val="32"/>
        </w:rPr>
      </w:pPr>
    </w:p>
    <w:p>
      <w:pPr>
        <w:spacing w:line="560" w:lineRule="exact"/>
        <w:ind w:firstLineChars="200" w:firstLine="640"/>
        <w:rPr>
          <w:rFonts w:ascii="Times New Roman" w:eastAsia="方正黑体_GBK" w:cs="Times New Roman" w:hAnsi="Times New Roman"/>
          <w:sz w:val="32"/>
          <w:szCs w:val="32"/>
        </w:rPr>
      </w:pPr>
    </w:p>
    <w:p>
      <w:pPr>
        <w:spacing w:line="560" w:lineRule="exact"/>
        <w:ind w:firstLineChars="200" w:firstLine="640"/>
        <w:rPr>
          <w:rFonts w:ascii="Times New Roman" w:eastAsia="方正黑体_GBK" w:cs="Times New Roman" w:hAnsi="Times New Roman"/>
          <w:sz w:val="32"/>
          <w:szCs w:val="32"/>
        </w:rPr>
      </w:pPr>
      <w:r>
        <w:rPr>
          <w:rFonts w:ascii="Times New Roman" w:eastAsia="方正黑体_GBK" w:cs="Times New Roman" w:hAnsi="Times New Roman"/>
          <w:sz w:val="32"/>
          <w:szCs w:val="32"/>
        </w:rPr>
        <w:t>五、关于徐州海关本级2026年一般公共预算当年财政拨款情况说明</w:t>
      </w:r>
    </w:p>
    <w:p>
      <w:pPr>
        <w:spacing w:line="560" w:lineRule="exact"/>
        <w:ind w:firstLineChars="200" w:firstLine="640"/>
        <w:jc w:val="left"/>
        <w:rPr>
          <w:rFonts w:ascii="Times New Roman" w:eastAsia="方正楷体_GBK" w:cs="Times New Roman" w:hAnsi="Times New Roman"/>
          <w:b/>
          <w:bCs/>
          <w:sz w:val="32"/>
          <w:szCs w:val="32"/>
        </w:rPr>
      </w:pPr>
      <w:r>
        <w:rPr>
          <w:rFonts w:ascii="Times New Roman" w:eastAsia="方正楷体_GBK" w:cs="Times New Roman" w:hAnsi="Times New Roman"/>
          <w:b/>
          <w:bCs/>
          <w:sz w:val="32"/>
          <w:szCs w:val="32"/>
        </w:rPr>
        <w:t>（一）一般公共预算当年财政拨款规模变化情况。</w:t>
      </w:r>
    </w:p>
    <w:p>
      <w:pPr>
        <w:spacing w:line="560" w:lineRule="exact"/>
        <w:ind w:firstLineChars="200" w:firstLine="640"/>
        <w:rPr>
          <w:rFonts w:ascii="Times New Roman" w:cs="Times New Roman" w:hAnsi="Times New Roman"/>
          <w:szCs w:val="21"/>
        </w:rPr>
      </w:pPr>
      <w:r>
        <w:rPr>
          <w:rFonts w:ascii="Times New Roman" w:eastAsia="方正仿宋_GBK" w:cs="Times New Roman" w:hAnsi="Times New Roman"/>
          <w:sz w:val="32"/>
          <w:szCs w:val="32"/>
        </w:rPr>
        <w:t>徐州海关本级2026年一般公共预算当年财政拨款预算2818.12万元，比2025年执行数</w:t>
      </w:r>
      <w:r>
        <w:rPr>
          <w:rFonts w:ascii="Times New Roman" w:eastAsia="方正仿宋_GBK" w:cs="Times New Roman" w:hAnsi="Times New Roman" w:hint="eastAsia"/>
          <w:sz w:val="32"/>
          <w:szCs w:val="32"/>
        </w:rPr>
        <w:t>减少</w:t>
      </w:r>
      <w:r>
        <w:rPr>
          <w:rFonts w:ascii="Times New Roman" w:eastAsia="方正仿宋_GBK" w:cs="Times New Roman" w:hAnsi="Times New Roman"/>
          <w:sz w:val="32"/>
          <w:szCs w:val="32"/>
        </w:rPr>
        <w:t>142.62万元，</w:t>
      </w:r>
      <w:r>
        <w:rPr>
          <w:rFonts w:ascii="Times New Roman" w:eastAsia="方正仿宋_GBK" w:cs="Times New Roman" w:hAnsi="Times New Roman" w:hint="eastAsia"/>
          <w:sz w:val="32"/>
          <w:szCs w:val="32"/>
        </w:rPr>
        <w:t>降幅</w:t>
      </w:r>
      <w:r>
        <w:rPr>
          <w:rFonts w:ascii="Times New Roman" w:eastAsia="方正仿宋_GBK" w:cs="Times New Roman" w:hAnsi="Times New Roman"/>
          <w:sz w:val="32"/>
          <w:szCs w:val="32"/>
        </w:rPr>
        <w:t>4.82%。2026年，按照党中央、国务院关于过紧日子的有关要求，全面加强各类资源统筹，优化支出结构，坚持钱要花到要处，坚持优先保障民生、重点保障刚性运转，精准保障海关改革发展。大力压减一般性支出，重点压减了检验检疫等项目支出中涉及的非急需非刚性支出，同时合理保障了海关关务、缉私警察等必要支出需求，体现在有关支出科目中。</w:t>
      </w:r>
    </w:p>
    <w:p>
      <w:pPr>
        <w:spacing w:line="560" w:lineRule="exact"/>
        <w:ind w:firstLineChars="200" w:firstLine="640"/>
        <w:jc w:val="left"/>
        <w:rPr>
          <w:rFonts w:ascii="Times New Roman" w:eastAsia="方正楷体_GBK" w:cs="Times New Roman" w:hAnsi="Times New Roman"/>
          <w:b/>
          <w:bCs/>
          <w:sz w:val="32"/>
          <w:szCs w:val="32"/>
        </w:rPr>
      </w:pPr>
      <w:r>
        <w:rPr>
          <w:rFonts w:ascii="Times New Roman" w:eastAsia="方正楷体_GBK" w:cs="Times New Roman" w:hAnsi="Times New Roman"/>
          <w:b/>
          <w:bCs/>
          <w:sz w:val="32"/>
          <w:szCs w:val="32"/>
        </w:rPr>
        <w:t>（二）一般公共预算当年财政拨款结构情况。</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2026年部门预算中，一般公共预算当年财政拨款用于以下方面：一般公共服务（类）支出1598.76万元，占56.73%；公共安全（类）支出297.60万元，占10.56%；社会保障和就业（类）支出291.09万元，占10.33%；卫生健康（类）支出162.67万元，占5.77%；住房保障（类）支出468万元，占16.61%。</w:t>
      </w:r>
    </w:p>
    <w:p>
      <w:pPr>
        <w:spacing w:line="560" w:lineRule="exact"/>
        <w:ind w:firstLineChars="200" w:firstLine="640"/>
        <w:rPr>
          <w:rFonts w:ascii="Times New Roman" w:eastAsia="方正仿宋_GBK" w:cs="Times New Roman" w:hAnsi="Times New Roman"/>
          <w:sz w:val="32"/>
          <w:szCs w:val="32"/>
        </w:rPr>
      </w:pPr>
    </w:p>
    <w:p>
      <w:pPr>
        <w:spacing w:line="560" w:lineRule="exact"/>
        <w:ind w:firstLineChars="200" w:firstLine="640"/>
        <w:rPr>
          <w:rFonts w:ascii="Times New Roman" w:eastAsia="方正仿宋_GBK" w:cs="Times New Roman" w:hAnsi="Times New Roman"/>
          <w:sz w:val="32"/>
          <w:szCs w:val="32"/>
        </w:rPr>
      </w:pPr>
    </w:p>
    <w:p>
      <w:pPr>
        <w:spacing w:line="560" w:lineRule="exact"/>
        <w:ind w:firstLineChars="200" w:firstLine="640"/>
        <w:rPr>
          <w:rFonts w:ascii="Times New Roman" w:eastAsia="方正仿宋_GBK" w:cs="Times New Roman" w:hAnsi="Times New Roman"/>
          <w:sz w:val="32"/>
          <w:szCs w:val="32"/>
        </w:rPr>
      </w:pPr>
    </w:p>
    <w:p>
      <w:pPr>
        <w:spacing w:line="560" w:lineRule="exact"/>
        <w:ind w:firstLineChars="200" w:firstLine="640"/>
        <w:rPr>
          <w:rFonts w:ascii="Times New Roman" w:eastAsia="方正仿宋_GBK" w:cs="Times New Roman" w:hAnsi="Times New Roman"/>
          <w:sz w:val="32"/>
          <w:szCs w:val="32"/>
        </w:rPr>
      </w:pPr>
    </w:p>
    <w:p>
      <w:pPr>
        <w:spacing w:line="560" w:lineRule="exact"/>
        <w:ind w:firstLineChars="200" w:firstLine="640"/>
        <w:rPr>
          <w:rFonts w:ascii="Times New Roman" w:eastAsia="方正仿宋_GBK" w:cs="Times New Roman" w:hAnsi="Times New Roman"/>
          <w:sz w:val="32"/>
          <w:szCs w:val="32"/>
        </w:rPr>
      </w:pPr>
    </w:p>
    <w:p>
      <w:pPr>
        <w:spacing w:line="560" w:lineRule="exact"/>
        <w:ind w:firstLineChars="200" w:firstLine="640"/>
        <w:rPr>
          <w:rFonts w:ascii="Times New Roman" w:eastAsia="方正仿宋_GBK" w:cs="Times New Roman" w:hAnsi="Times New Roman"/>
          <w:sz w:val="32"/>
          <w:szCs w:val="32"/>
        </w:rPr>
      </w:pPr>
    </w:p>
    <w:p>
      <w:pPr>
        <w:spacing w:line="560" w:lineRule="exact"/>
        <w:ind w:firstLineChars="200" w:firstLine="640"/>
        <w:rPr>
          <w:rFonts w:ascii="Times New Roman" w:eastAsia="方正仿宋_GBK" w:cs="Times New Roman" w:hAnsi="Times New Roman"/>
          <w:sz w:val="32"/>
          <w:szCs w:val="32"/>
        </w:rPr>
      </w:pPr>
    </w:p>
    <w:p>
      <w:pPr>
        <w:spacing w:line="560" w:lineRule="exact"/>
        <w:ind w:firstLineChars="200" w:firstLine="640"/>
        <w:rPr>
          <w:rFonts w:ascii="Times New Roman" w:eastAsia="方正楷体_GBK" w:cs="Times New Roman" w:hAnsi="Times New Roman"/>
          <w:b/>
          <w:bCs/>
          <w:sz w:val="32"/>
          <w:szCs w:val="32"/>
        </w:rPr>
      </w:pPr>
      <w:r>
        <w:rPr>
          <w:rFonts w:ascii="Times New Roman" w:eastAsia="方正仿宋_GBK" w:cs="Times New Roman" w:hAnsi="Times New Roman"/>
          <w:sz w:val="32"/>
          <w:szCs w:val="32"/>
        </w:rPr>
        <w:drawing>
          <wp:anchor distT="0" distB="0" distL="68578" distR="68578" simplePos="0" relativeHeight="57" behindDoc="0" locked="0" layoutInCell="1" hidden="0" allowOverlap="1">
            <wp:simplePos x="0" y="0"/>
            <wp:positionH relativeFrom="column">
              <wp:posOffset>406400</wp:posOffset>
            </wp:positionH>
            <wp:positionV relativeFrom="paragraph">
              <wp:posOffset>-2318978</wp:posOffset>
            </wp:positionV>
            <wp:extent cx="4373813" cy="2674579"/>
            <wp:effectExtent l="0" t="0" r="0" b="0"/>
            <wp:wrapNone/>
            <wp:docPr id="25" name="图片 25"/>
            <wp:cNvGraphicFramePr>
              <a:graphicFrameLocks noChangeAspect="1"/>
            </wp:cNvGraphicFramePr>
            <a:graphic>
              <a:graphicData uri="http://schemas.openxmlformats.org/drawingml/2006/picture">
                <pic:pic>
                  <pic:nvPicPr>
                    <pic:cNvPr id="26" name="图片 25 26"/>
                    <pic:cNvPicPr/>
                  </pic:nvPicPr>
                  <pic:blipFill>
                    <a:blip r:embed="rId10"/>
                    <a:stretch>
                      <a:fillRect/>
                    </a:stretch>
                  </pic:blipFill>
                  <pic:spPr>
                    <a:xfrm rot="0">
                      <a:off x="0" y="0"/>
                      <a:ext cx="4373813" cy="2674579"/>
                    </a:xfrm>
                    <a:prstGeom prst="rect"/>
                    <a:noFill/>
                    <a:ln w="9525" cmpd="sng" cap="flat">
                      <a:noFill/>
                      <a:prstDash val="solid"/>
                      <a:miter/>
                    </a:ln>
                  </pic:spPr>
                </pic:pic>
              </a:graphicData>
            </a:graphic>
          </wp:anchor>
        </w:drawing>
      </w:r>
    </w:p>
    <w:p>
      <w:pPr>
        <w:spacing w:line="560" w:lineRule="exact"/>
        <w:ind w:firstLineChars="200" w:firstLine="640"/>
        <w:rPr>
          <w:rFonts w:ascii="Times New Roman" w:eastAsia="方正楷体_GBK" w:cs="Times New Roman" w:hAnsi="Times New Roman"/>
          <w:b/>
          <w:bCs/>
          <w:sz w:val="32"/>
          <w:szCs w:val="32"/>
        </w:rPr>
      </w:pPr>
      <w:r>
        <w:rPr>
          <w:rFonts w:ascii="Times New Roman" w:eastAsia="方正楷体_GBK" w:cs="Times New Roman" w:hAnsi="Times New Roman"/>
          <w:b/>
          <w:bCs/>
          <w:sz w:val="32"/>
          <w:szCs w:val="32"/>
        </w:rPr>
        <w:t>（三）一般公共预算当年财政拨款具体使用情况。</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1．一般公共服务支出（类）海关事务（款）2026年预算1598.76万元，比2025年执行数</w:t>
      </w:r>
      <w:r>
        <w:rPr>
          <w:rFonts w:ascii="Times New Roman" w:eastAsia="方正仿宋_GBK" w:cs="Times New Roman" w:hAnsi="Times New Roman" w:hint="eastAsia"/>
          <w:sz w:val="32"/>
          <w:szCs w:val="32"/>
        </w:rPr>
        <w:t>减少</w:t>
      </w:r>
      <w:r>
        <w:rPr>
          <w:rFonts w:ascii="Times New Roman" w:eastAsia="方正仿宋_GBK" w:cs="Times New Roman" w:hAnsi="Times New Roman"/>
          <w:sz w:val="32"/>
          <w:szCs w:val="32"/>
        </w:rPr>
        <w:t>49.41万元，</w:t>
      </w:r>
      <w:r>
        <w:rPr>
          <w:rFonts w:ascii="Times New Roman" w:eastAsia="方正仿宋_GBK" w:cs="Times New Roman" w:hAnsi="Times New Roman" w:hint="eastAsia"/>
          <w:sz w:val="32"/>
          <w:szCs w:val="32"/>
        </w:rPr>
        <w:t>减幅</w:t>
      </w:r>
      <w:r>
        <w:rPr>
          <w:rFonts w:ascii="Times New Roman" w:eastAsia="方正仿宋_GBK" w:cs="Times New Roman" w:hAnsi="Times New Roman"/>
          <w:sz w:val="32"/>
          <w:szCs w:val="32"/>
        </w:rPr>
        <w:t>2.86%。</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2．公共安全支出（类）缉私警察（款）2026年预算297.60万元，比2025年执行数</w:t>
      </w:r>
      <w:r>
        <w:rPr>
          <w:rFonts w:ascii="Times New Roman" w:eastAsia="方正仿宋_GBK" w:cs="Times New Roman" w:hAnsi="Times New Roman" w:hint="eastAsia"/>
          <w:sz w:val="32"/>
          <w:szCs w:val="32"/>
        </w:rPr>
        <w:t>减少</w:t>
      </w:r>
      <w:r>
        <w:rPr>
          <w:rFonts w:ascii="Times New Roman" w:eastAsia="方正仿宋_GBK" w:cs="Times New Roman" w:hAnsi="Times New Roman"/>
          <w:sz w:val="32"/>
          <w:szCs w:val="32"/>
        </w:rPr>
        <w:t>0.04万元，</w:t>
      </w:r>
      <w:r>
        <w:rPr>
          <w:rFonts w:ascii="Times New Roman" w:eastAsia="方正仿宋_GBK" w:cs="Times New Roman" w:hAnsi="Times New Roman" w:hint="eastAsia"/>
          <w:sz w:val="32"/>
          <w:szCs w:val="32"/>
        </w:rPr>
        <w:t>降幅</w:t>
      </w:r>
      <w:r>
        <w:rPr>
          <w:rFonts w:ascii="Times New Roman" w:eastAsia="方正仿宋_GBK" w:cs="Times New Roman" w:hAnsi="Times New Roman"/>
          <w:sz w:val="32"/>
          <w:szCs w:val="32"/>
        </w:rPr>
        <w:t>0.01%。行政运行和打击走私等项目支出均有增加。</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3．社会保障和就业支出（类）行政事业单位养老支出（款）2026年预算291.09万元，比2025年执行数</w:t>
      </w:r>
      <w:r>
        <w:rPr>
          <w:rFonts w:ascii="Times New Roman" w:eastAsia="方正仿宋_GBK" w:cs="Times New Roman" w:hAnsi="Times New Roman" w:hint="eastAsia"/>
          <w:sz w:val="32"/>
          <w:szCs w:val="32"/>
        </w:rPr>
        <w:t>增加</w:t>
      </w:r>
      <w:r>
        <w:rPr>
          <w:rFonts w:ascii="Times New Roman" w:eastAsia="方正仿宋_GBK" w:cs="Times New Roman" w:hAnsi="Times New Roman"/>
          <w:sz w:val="32"/>
          <w:szCs w:val="32"/>
        </w:rPr>
        <w:t>12.09万元，</w:t>
      </w:r>
      <w:r>
        <w:rPr>
          <w:rFonts w:ascii="Times New Roman" w:eastAsia="方正仿宋_GBK" w:cs="Times New Roman" w:hAnsi="Times New Roman" w:hint="eastAsia"/>
          <w:sz w:val="32"/>
          <w:szCs w:val="32"/>
        </w:rPr>
        <w:t>增幅4.3</w:t>
      </w:r>
      <w:r>
        <w:rPr>
          <w:rFonts w:ascii="Times New Roman" w:eastAsia="方正仿宋_GBK" w:cs="Times New Roman" w:hAnsi="Times New Roman"/>
          <w:sz w:val="32"/>
          <w:szCs w:val="32"/>
        </w:rPr>
        <w:t>%。</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4．卫生健康支出（类）行政事业单位医疗（款）2026年预算162.67万元，比2025年执行数增加4.45万元，</w:t>
      </w:r>
      <w:r>
        <w:rPr>
          <w:rFonts w:ascii="Times New Roman" w:eastAsia="方正仿宋_GBK" w:cs="Times New Roman" w:hAnsi="Times New Roman" w:hint="eastAsia"/>
          <w:sz w:val="32"/>
          <w:szCs w:val="32"/>
        </w:rPr>
        <w:t>增幅</w:t>
      </w:r>
      <w:r>
        <w:rPr>
          <w:rFonts w:ascii="Times New Roman" w:eastAsia="方正仿宋_GBK" w:cs="Times New Roman" w:hAnsi="Times New Roman"/>
          <w:sz w:val="32"/>
          <w:szCs w:val="32"/>
        </w:rPr>
        <w:t>2.81%。</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5．住房保障支出（类）住房改革支出（款）2026年预算468万元，比2025年执行数</w:t>
      </w:r>
      <w:r>
        <w:rPr>
          <w:rFonts w:ascii="Times New Roman" w:eastAsia="方正仿宋_GBK" w:cs="Times New Roman" w:hAnsi="Times New Roman" w:hint="eastAsia"/>
          <w:sz w:val="32"/>
          <w:szCs w:val="32"/>
        </w:rPr>
        <w:t>减少15</w:t>
      </w:r>
      <w:r>
        <w:rPr>
          <w:rFonts w:ascii="Times New Roman" w:eastAsia="方正仿宋_GBK" w:cs="Times New Roman" w:hAnsi="Times New Roman"/>
          <w:sz w:val="32"/>
          <w:szCs w:val="32"/>
        </w:rPr>
        <w:t>万元，</w:t>
      </w:r>
      <w:r>
        <w:rPr>
          <w:rFonts w:ascii="Times New Roman" w:eastAsia="方正仿宋_GBK" w:cs="Times New Roman" w:hAnsi="Times New Roman" w:hint="eastAsia"/>
          <w:sz w:val="32"/>
          <w:szCs w:val="32"/>
        </w:rPr>
        <w:t>减幅</w:t>
      </w:r>
      <w:r>
        <w:rPr>
          <w:rFonts w:ascii="Times New Roman" w:eastAsia="方正仿宋_GBK" w:cs="Times New Roman" w:hAnsi="Times New Roman"/>
          <w:sz w:val="32"/>
          <w:szCs w:val="32"/>
        </w:rPr>
        <w:t>3.11%。</w:t>
      </w:r>
    </w:p>
    <w:p>
      <w:pPr>
        <w:pStyle w:val="17"/>
        <w:spacing w:line="560" w:lineRule="exact"/>
        <w:ind w:firstLineChars="200" w:firstLine="640"/>
        <w:rPr>
          <w:rFonts w:eastAsia="方正黑体_GBK"/>
          <w:sz w:val="32"/>
          <w:szCs w:val="32"/>
        </w:rPr>
      </w:pPr>
      <w:r>
        <w:rPr>
          <w:rFonts w:eastAsia="方正黑体_GBK"/>
          <w:sz w:val="32"/>
          <w:szCs w:val="32"/>
        </w:rPr>
        <w:t>六、关于徐州海关本级2026年一般公共预算基本支出情况说明</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徐州海关本级2026年一般公共预算基本支出2556.62万元，其中：</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人员经费2113.72万元，主要包括：基本工资、津贴补贴、奖金、机关事业单位基本养老保险缴费、职业年金缴费、职工基本医疗保险缴费、公务员医疗补助缴费、其他社会保障缴费、住房公积金；</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日常公用经费442.9万元，主要包括：办公费、印刷费、水费、电费、邮电费、取暖费、物业管理费、差旅费、维修（护）费、租赁费、培训费、公务接待费、专用材料费、劳务费、委托业务费、工会经费、公务用车运行维护费、其他交通费用、其他商品和服务支出、办公设备购置、专用设备购置。</w:t>
      </w:r>
    </w:p>
    <w:p>
      <w:pPr>
        <w:pStyle w:val="17"/>
        <w:spacing w:line="560" w:lineRule="exact"/>
        <w:ind w:firstLineChars="200" w:firstLine="640"/>
        <w:rPr>
          <w:rFonts w:eastAsia="方正黑体_GBK"/>
          <w:sz w:val="32"/>
          <w:szCs w:val="32"/>
        </w:rPr>
      </w:pPr>
      <w:r>
        <w:rPr>
          <w:rFonts w:eastAsia="方正黑体_GBK"/>
          <w:sz w:val="32"/>
          <w:szCs w:val="32"/>
        </w:rPr>
        <w:t>七、关于徐州海关本级2026年“三公”经费预算情况说明</w:t>
      </w:r>
    </w:p>
    <w:p>
      <w:pPr>
        <w:spacing w:line="560" w:lineRule="exact"/>
        <w:ind w:firstLineChars="200" w:firstLine="640"/>
        <w:rPr>
          <w:rFonts w:ascii="Times New Roman" w:cs="Times New Roman" w:hAnsi="Times New Roman"/>
          <w:sz w:val="32"/>
          <w:szCs w:val="32"/>
        </w:rPr>
      </w:pPr>
      <w:r>
        <w:rPr>
          <w:rFonts w:ascii="Times New Roman" w:eastAsia="方正仿宋_GBK" w:cs="Times New Roman" w:hAnsi="Times New Roman"/>
          <w:sz w:val="32"/>
          <w:szCs w:val="32"/>
        </w:rPr>
        <w:t>徐州海关本级2026年“三公”经费预算数为78.6万元，较2025年预算数</w:t>
      </w:r>
      <w:r>
        <w:rPr>
          <w:rFonts w:ascii="Times New Roman" w:eastAsia="方正仿宋_GBK" w:cs="Times New Roman" w:hAnsi="Times New Roman" w:hint="eastAsia"/>
          <w:sz w:val="32"/>
          <w:szCs w:val="32"/>
        </w:rPr>
        <w:t>增加38.7</w:t>
      </w:r>
      <w:r>
        <w:rPr>
          <w:rFonts w:ascii="Times New Roman" w:eastAsia="方正仿宋_GBK" w:cs="Times New Roman" w:hAnsi="Times New Roman"/>
          <w:sz w:val="32"/>
          <w:szCs w:val="32"/>
        </w:rPr>
        <w:t>万元。其中：公务用车购置费38.7万元，较2025年预算数</w:t>
      </w:r>
      <w:r>
        <w:rPr>
          <w:rFonts w:ascii="Times New Roman" w:eastAsia="方正仿宋_GBK" w:cs="Times New Roman" w:hAnsi="Times New Roman" w:hint="eastAsia"/>
          <w:sz w:val="32"/>
          <w:szCs w:val="32"/>
        </w:rPr>
        <w:t>增加38.7</w:t>
      </w:r>
      <w:r>
        <w:rPr>
          <w:rFonts w:ascii="Times New Roman" w:eastAsia="方正仿宋_GBK" w:cs="Times New Roman" w:hAnsi="Times New Roman"/>
          <w:sz w:val="32"/>
          <w:szCs w:val="32"/>
        </w:rPr>
        <w:t>万元</w:t>
      </w:r>
      <w:r>
        <w:rPr>
          <w:rFonts w:ascii="Times New Roman" w:eastAsia="方正仿宋_GBK" w:cs="Times New Roman" w:hAnsi="Times New Roman" w:hint="eastAsia"/>
          <w:sz w:val="32"/>
          <w:szCs w:val="32"/>
        </w:rPr>
        <w:t>，</w:t>
      </w:r>
      <w:r>
        <w:rPr>
          <w:rFonts w:ascii="Times New Roman" w:eastAsia="方正仿宋_GBK" w:cs="Times New Roman" w:hAnsi="Times New Roman"/>
          <w:sz w:val="32"/>
          <w:szCs w:val="32"/>
        </w:rPr>
        <w:t>主要为</w:t>
      </w:r>
      <w:r>
        <w:rPr>
          <w:rFonts w:ascii="Times New Roman" w:eastAsia="方正仿宋_GBK" w:cs="Times New Roman" w:hAnsi="Times New Roman" w:hint="eastAsia"/>
          <w:sz w:val="32"/>
          <w:szCs w:val="32"/>
        </w:rPr>
        <w:t>新增</w:t>
      </w:r>
      <w:r>
        <w:rPr>
          <w:rFonts w:ascii="Times New Roman" w:eastAsia="方正仿宋_GBK" w:cs="Times New Roman" w:hAnsi="Times New Roman"/>
          <w:sz w:val="32"/>
          <w:szCs w:val="32"/>
        </w:rPr>
        <w:t>购买了两辆车，一辆执法执勤用车，一辆应急保障</w:t>
      </w:r>
      <w:r>
        <w:rPr>
          <w:rFonts w:ascii="Times New Roman" w:eastAsia="方正仿宋_GBK" w:cs="Times New Roman" w:hAnsi="Times New Roman" w:hint="eastAsia"/>
          <w:sz w:val="32"/>
          <w:szCs w:val="32"/>
        </w:rPr>
        <w:t>用车</w:t>
      </w:r>
      <w:r>
        <w:rPr>
          <w:rFonts w:ascii="Times New Roman" w:eastAsia="方正仿宋_GBK" w:cs="Times New Roman" w:hAnsi="Times New Roman"/>
          <w:sz w:val="32"/>
          <w:szCs w:val="32"/>
        </w:rPr>
        <w:t>；公务用车运行费38万元，较2025年预算</w:t>
      </w:r>
      <w:r>
        <w:rPr>
          <w:rFonts w:ascii="Times New Roman" w:eastAsia="方正仿宋_GBK" w:cs="Times New Roman" w:hAnsi="Times New Roman" w:hint="eastAsia"/>
          <w:sz w:val="32"/>
          <w:szCs w:val="32"/>
        </w:rPr>
        <w:t>无变化</w:t>
      </w:r>
      <w:r>
        <w:rPr>
          <w:rFonts w:ascii="Times New Roman" w:eastAsia="方正仿宋_GBK" w:cs="Times New Roman" w:hAnsi="Times New Roman"/>
          <w:sz w:val="32"/>
          <w:szCs w:val="32"/>
        </w:rPr>
        <w:t>；公务接待费1.9万元，较2025年预算</w:t>
      </w:r>
      <w:r>
        <w:rPr>
          <w:rFonts w:ascii="Times New Roman" w:eastAsia="方正仿宋_GBK" w:cs="Times New Roman" w:hAnsi="Times New Roman" w:hint="eastAsia"/>
          <w:sz w:val="32"/>
          <w:szCs w:val="32"/>
        </w:rPr>
        <w:t>无变化</w:t>
      </w:r>
      <w:r>
        <w:rPr>
          <w:rFonts w:ascii="Times New Roman" w:eastAsia="方正仿宋_GBK" w:cs="Times New Roman" w:hAnsi="Times New Roman"/>
          <w:sz w:val="32"/>
          <w:szCs w:val="32"/>
        </w:rPr>
        <w:t>。</w:t>
      </w:r>
    </w:p>
    <w:p>
      <w:pPr>
        <w:pStyle w:val="17"/>
        <w:spacing w:line="560" w:lineRule="exact"/>
        <w:ind w:firstLineChars="200" w:firstLine="640"/>
        <w:rPr>
          <w:rFonts w:eastAsia="方正黑体_GBK"/>
          <w:sz w:val="32"/>
          <w:szCs w:val="32"/>
        </w:rPr>
      </w:pPr>
      <w:r>
        <w:rPr>
          <w:rFonts w:eastAsia="方正黑体_GBK"/>
          <w:sz w:val="32"/>
          <w:szCs w:val="32"/>
        </w:rPr>
        <w:t>八、关于徐州海关本级2026年政府性基金预算收支情况说明</w:t>
      </w:r>
    </w:p>
    <w:p>
      <w:pPr>
        <w:spacing w:line="560" w:lineRule="exact"/>
        <w:ind w:firstLineChars="200" w:firstLine="640"/>
        <w:rPr>
          <w:rFonts w:ascii="Times New Roman" w:cs="Times New Roman" w:hAnsi="Times New Roman"/>
          <w:sz w:val="32"/>
          <w:szCs w:val="32"/>
        </w:rPr>
      </w:pPr>
      <w:r>
        <w:rPr>
          <w:rFonts w:ascii="Times New Roman" w:eastAsia="方正仿宋_GBK" w:cs="Times New Roman" w:hAnsi="Times New Roman"/>
          <w:sz w:val="32"/>
          <w:szCs w:val="32"/>
        </w:rPr>
        <w:t>徐州海关本级2026年无政府性基金预算收支。</w:t>
      </w:r>
    </w:p>
    <w:p>
      <w:pPr>
        <w:pStyle w:val="17"/>
        <w:spacing w:line="560" w:lineRule="exact"/>
        <w:ind w:firstLineChars="200" w:firstLine="640"/>
        <w:rPr>
          <w:rFonts w:eastAsia="方正黑体_GBK"/>
          <w:sz w:val="32"/>
          <w:szCs w:val="32"/>
        </w:rPr>
      </w:pPr>
      <w:r>
        <w:rPr>
          <w:rFonts w:eastAsia="方正黑体_GBK"/>
          <w:sz w:val="32"/>
          <w:szCs w:val="32"/>
        </w:rPr>
        <w:t>九、关于徐州海关本级2026年国有资本经营预算收支情况说明</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徐州海关本级2026年无国有资本经营预算收支。</w:t>
      </w:r>
    </w:p>
    <w:p>
      <w:pPr>
        <w:pStyle w:val="17"/>
        <w:spacing w:line="560" w:lineRule="exact"/>
        <w:ind w:firstLineChars="200" w:firstLine="640"/>
        <w:rPr>
          <w:rFonts w:eastAsia="方正黑体_GBK"/>
          <w:sz w:val="32"/>
          <w:szCs w:val="32"/>
        </w:rPr>
      </w:pPr>
      <w:r>
        <w:rPr>
          <w:rFonts w:eastAsia="方正黑体_GBK"/>
          <w:sz w:val="32"/>
          <w:szCs w:val="32"/>
        </w:rPr>
        <w:t>十、其他重要事项情况说明</w:t>
      </w:r>
    </w:p>
    <w:p>
      <w:pPr>
        <w:pStyle w:val="167"/>
        <w:spacing w:line="560" w:lineRule="exact"/>
        <w:ind w:firstLine="644"/>
        <w:rPr>
          <w:rFonts w:eastAsia="方正仿宋_GBK"/>
          <w:sz w:val="32"/>
          <w:szCs w:val="32"/>
        </w:rPr>
      </w:pPr>
      <w:r>
        <w:rPr>
          <w:rFonts w:ascii="Times New Roman" w:eastAsia="方正楷体_GBK" w:cs="Times New Roman" w:hAnsi="Times New Roman"/>
          <w:b/>
          <w:bCs/>
          <w:sz w:val="32"/>
          <w:szCs w:val="32"/>
        </w:rPr>
        <w:t>（一）</w:t>
      </w:r>
      <w:r>
        <w:rPr>
          <w:rFonts w:eastAsia="方正仿宋_GBK"/>
          <w:sz w:val="32"/>
          <w:szCs w:val="32"/>
        </w:rPr>
        <w:t>2026年徐州海关的机关运行经费财政拨款预算396.9万元，较2025年执行数减少83.1万元，降低17.31%。主要原因是落实过紧日子要求压减一般性支出和减少公有住房改造支出。</w:t>
      </w:r>
    </w:p>
    <w:p>
      <w:pPr>
        <w:spacing w:line="560" w:lineRule="exact"/>
        <w:ind w:firstLineChars="200" w:firstLine="640"/>
        <w:jc w:val="left"/>
        <w:rPr>
          <w:rFonts w:ascii="Times New Roman" w:eastAsia="方正楷体_GBK" w:cs="Times New Roman" w:hAnsi="Times New Roman"/>
          <w:b/>
          <w:bCs/>
          <w:sz w:val="32"/>
          <w:szCs w:val="32"/>
        </w:rPr>
      </w:pPr>
      <w:r>
        <w:rPr>
          <w:rFonts w:ascii="Times New Roman" w:eastAsia="方正楷体_GBK" w:cs="Times New Roman" w:hAnsi="Times New Roman"/>
          <w:b/>
          <w:bCs/>
          <w:sz w:val="32"/>
          <w:szCs w:val="32"/>
        </w:rPr>
        <w:t>（二）政府采购情况。</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2026年徐州海关本级政府采购预算总额40.5万元，全部为政府采购货物预算。</w:t>
      </w:r>
    </w:p>
    <w:p>
      <w:pPr>
        <w:spacing w:line="560" w:lineRule="exact"/>
        <w:ind w:firstLineChars="200" w:firstLine="640"/>
        <w:jc w:val="left"/>
        <w:rPr>
          <w:rFonts w:ascii="Times New Roman" w:eastAsia="方正楷体_GBK" w:cs="Times New Roman" w:hAnsi="Times New Roman"/>
          <w:b/>
          <w:bCs/>
          <w:sz w:val="32"/>
          <w:szCs w:val="32"/>
        </w:rPr>
      </w:pPr>
      <w:r>
        <w:rPr>
          <w:rFonts w:ascii="Times New Roman" w:eastAsia="方正楷体_GBK" w:cs="Times New Roman" w:hAnsi="Times New Roman"/>
          <w:b/>
          <w:bCs/>
          <w:sz w:val="32"/>
          <w:szCs w:val="32"/>
        </w:rPr>
        <w:t>（三）国有资产占有使用情况。</w:t>
      </w:r>
    </w:p>
    <w:p>
      <w:pPr>
        <w:spacing w:line="560" w:lineRule="exact"/>
        <w:ind w:firstLineChars="200" w:firstLine="640"/>
        <w:rPr>
          <w:rFonts w:ascii="Times New Roman" w:eastAsia="方正仿宋_GBK" w:cs="Times New Roman" w:hAnsi="Times New Roman"/>
          <w:color w:val="000000"/>
          <w:sz w:val="32"/>
          <w:szCs w:val="32"/>
          <w:highlight w:val="yellow"/>
        </w:rPr>
      </w:pPr>
      <w:r>
        <w:rPr>
          <w:rFonts w:ascii="Times New Roman" w:eastAsia="方正仿宋_GBK" w:cs="Times New Roman" w:hAnsi="Times New Roman"/>
          <w:color w:val="000000"/>
          <w:sz w:val="32"/>
          <w:szCs w:val="32"/>
        </w:rPr>
        <w:t>截至2025年12月31日，</w:t>
      </w:r>
      <w:r>
        <w:rPr>
          <w:rFonts w:ascii="Times New Roman" w:eastAsia="方正仿宋_GBK" w:cs="Times New Roman" w:hAnsi="Times New Roman"/>
          <w:sz w:val="32"/>
          <w:szCs w:val="32"/>
        </w:rPr>
        <w:t>徐州海关本级</w:t>
      </w:r>
      <w:r>
        <w:rPr>
          <w:rFonts w:ascii="Times New Roman" w:eastAsia="方正仿宋_GBK" w:cs="Times New Roman" w:hAnsi="Times New Roman"/>
          <w:color w:val="000000"/>
          <w:sz w:val="32"/>
          <w:szCs w:val="32"/>
        </w:rPr>
        <w:t>共有车辆13辆，其中，机要通讯用车1辆、应急保障用车1辆、执法执勤用车10辆、离退休干部服务用车1辆。单位价值100万元以上的设备7台（套）。</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2026年部门预算</w:t>
      </w:r>
      <w:r>
        <w:rPr>
          <w:rFonts w:ascii="Times New Roman" w:eastAsia="方正仿宋_GBK" w:cs="Times New Roman" w:hAnsi="Times New Roman" w:hint="eastAsia"/>
          <w:sz w:val="32"/>
          <w:szCs w:val="32"/>
        </w:rPr>
        <w:t>安排购入</w:t>
      </w:r>
      <w:r>
        <w:rPr>
          <w:rFonts w:ascii="Times New Roman" w:eastAsia="方正仿宋_GBK" w:cs="Times New Roman" w:hAnsi="Times New Roman"/>
          <w:sz w:val="32"/>
          <w:szCs w:val="32"/>
        </w:rPr>
        <w:t>两辆车</w:t>
      </w:r>
      <w:r>
        <w:rPr>
          <w:rFonts w:ascii="Times New Roman" w:eastAsia="方正仿宋_GBK" w:cs="Times New Roman" w:hAnsi="Times New Roman" w:hint="eastAsia"/>
          <w:sz w:val="32"/>
          <w:szCs w:val="32"/>
        </w:rPr>
        <w:t>，</w:t>
      </w:r>
      <w:r>
        <w:rPr>
          <w:rFonts w:ascii="Times New Roman" w:eastAsia="方正仿宋_GBK" w:cs="Times New Roman" w:hAnsi="Times New Roman"/>
          <w:sz w:val="32"/>
          <w:szCs w:val="32"/>
        </w:rPr>
        <w:t>预算金额</w:t>
      </w:r>
      <w:r>
        <w:rPr>
          <w:rFonts w:ascii="Times New Roman" w:eastAsia="方正仿宋_GBK" w:cs="Times New Roman" w:hAnsi="Times New Roman" w:hint="eastAsia"/>
          <w:sz w:val="32"/>
          <w:szCs w:val="32"/>
        </w:rPr>
        <w:t>38.7万元</w:t>
      </w:r>
      <w:r>
        <w:rPr>
          <w:rFonts w:ascii="Times New Roman" w:eastAsia="方正仿宋_GBK" w:cs="Times New Roman" w:hAnsi="Times New Roman"/>
          <w:sz w:val="32"/>
          <w:szCs w:val="32"/>
        </w:rPr>
        <w:t>，一辆为</w:t>
      </w:r>
      <w:r>
        <w:rPr>
          <w:rFonts w:ascii="Times New Roman" w:eastAsia="方正仿宋_GBK" w:cs="Times New Roman" w:hAnsi="Times New Roman" w:hint="eastAsia"/>
          <w:sz w:val="32"/>
          <w:szCs w:val="32"/>
        </w:rPr>
        <w:t>执法执勤</w:t>
      </w:r>
      <w:r>
        <w:rPr>
          <w:rFonts w:ascii="Times New Roman" w:eastAsia="方正仿宋_GBK" w:cs="Times New Roman" w:hAnsi="Times New Roman"/>
          <w:sz w:val="32"/>
          <w:szCs w:val="32"/>
        </w:rPr>
        <w:t>用车，</w:t>
      </w:r>
      <w:r>
        <w:rPr>
          <w:rFonts w:ascii="Times New Roman" w:eastAsia="方正仿宋_GBK" w:cs="Times New Roman" w:hAnsi="Times New Roman" w:hint="eastAsia"/>
          <w:sz w:val="32"/>
          <w:szCs w:val="32"/>
        </w:rPr>
        <w:t>一辆</w:t>
      </w:r>
      <w:r>
        <w:rPr>
          <w:rFonts w:ascii="Times New Roman" w:eastAsia="方正仿宋_GBK" w:cs="Times New Roman" w:hAnsi="Times New Roman"/>
          <w:sz w:val="32"/>
          <w:szCs w:val="32"/>
        </w:rPr>
        <w:t>为应急保障用车。</w:t>
      </w:r>
    </w:p>
    <w:p>
      <w:pPr>
        <w:pStyle w:val="168"/>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w:t>
      </w:r>
      <w:r>
        <w:rPr>
          <w:rFonts w:ascii="方正楷体_GBK" w:eastAsia="方正楷体_GBK" w:cs="方正楷体_GBK"/>
          <w:b/>
          <w:bCs/>
          <w:sz w:val="32"/>
          <w:szCs w:val="32"/>
          <w:lang w:val="zh-CN"/>
        </w:rPr>
        <w:t>四</w:t>
      </w:r>
      <w:r>
        <w:rPr>
          <w:rFonts w:ascii="方正楷体_GBK" w:eastAsia="方正楷体_GBK" w:cs="方正楷体_GBK" w:hint="eastAsia"/>
          <w:b/>
          <w:bCs/>
          <w:sz w:val="32"/>
          <w:szCs w:val="32"/>
          <w:lang w:val="zh-CN"/>
        </w:rPr>
        <w:t>）预算绩效情况说明。</w:t>
      </w:r>
    </w:p>
    <w:p>
      <w:pPr>
        <w:pStyle w:val="169"/>
        <w:spacing w:line="560" w:lineRule="exact"/>
        <w:ind w:firstLine="644"/>
        <w:rPr>
          <w:rFonts w:eastAsia="方正仿宋_GBK"/>
          <w:sz w:val="32"/>
          <w:szCs w:val="32"/>
        </w:rPr>
      </w:pPr>
      <w:r>
        <w:rPr>
          <w:rFonts w:eastAsia="方正仿宋_GBK"/>
          <w:sz w:val="32"/>
          <w:szCs w:val="32"/>
        </w:rPr>
        <w:t>2026年对徐州海关本级</w:t>
      </w:r>
      <w:r>
        <w:rPr>
          <w:rFonts w:eastAsia="方正仿宋_GBK"/>
          <w:sz w:val="32"/>
          <w:szCs w:val="32"/>
        </w:rPr>
        <w:t>一般公共预算和政府性基金预算拨款项目全面实施绩效目</w:t>
      </w:r>
      <w:r>
        <w:rPr>
          <w:rFonts w:eastAsia="方正仿宋_GBK"/>
          <w:sz w:val="32"/>
          <w:szCs w:val="32"/>
        </w:rPr>
        <w:t>标管理，涉及一般公共预算拨款261.5</w:t>
      </w:r>
      <w:bookmarkStart w:id="1" w:name="_GoBack"/>
      <w:bookmarkEnd w:id="1"/>
      <w:r>
        <w:rPr>
          <w:rFonts w:eastAsia="方正仿宋_GBK"/>
          <w:sz w:val="32"/>
          <w:szCs w:val="32"/>
        </w:rPr>
        <w:t>万元，二级项目7个。根</w:t>
      </w:r>
      <w:r>
        <w:rPr>
          <w:rFonts w:eastAsia="方正仿宋_GBK"/>
          <w:sz w:val="32"/>
          <w:szCs w:val="32"/>
        </w:rPr>
        <w:t>据以前年度绩效评价结果，优化项目支出2026年预算安排，</w:t>
      </w:r>
      <w:r>
        <w:rPr>
          <w:rFonts w:eastAsia="方正仿宋_GBK"/>
          <w:sz w:val="32"/>
          <w:szCs w:val="32"/>
        </w:rPr>
        <w:t>并进一步改进管理、完善政策</w:t>
      </w:r>
      <w:r>
        <w:rPr>
          <w:rFonts w:eastAsia="方正仿宋_GBK" w:hint="eastAsia"/>
          <w:sz w:val="32"/>
          <w:szCs w:val="32"/>
        </w:rPr>
        <w:t>，具体绩效表格见</w:t>
      </w:r>
      <w:r>
        <w:rPr>
          <w:rFonts w:eastAsia="方正仿宋_GBK"/>
          <w:sz w:val="32"/>
          <w:szCs w:val="32"/>
        </w:rPr>
        <w:t>第五部分附件。</w:t>
      </w:r>
    </w:p>
    <w:p>
      <w:pPr>
        <w:jc w:val="center"/>
        <w:rPr>
          <w:rFonts w:ascii="Times New Roman" w:eastAsia="方正仿宋_GBK" w:cs="Times New Roman" w:hAnsi="Times New Roman"/>
          <w:sz w:val="32"/>
          <w:szCs w:val="32"/>
        </w:rPr>
      </w:pPr>
    </w:p>
    <w:p>
      <w:pPr>
        <w:jc w:val="center"/>
        <w:rPr>
          <w:rFonts w:ascii="Times New Roman" w:cs="Times New Roman" w:hAnsi="Times New Roman"/>
          <w:b/>
          <w:sz w:val="32"/>
          <w:szCs w:val="32"/>
        </w:rPr>
      </w:pPr>
    </w:p>
    <w:p>
      <w:pPr>
        <w:jc w:val="center"/>
        <w:rPr>
          <w:rFonts w:ascii="Times New Roman" w:cs="Times New Roman" w:hAnsi="Times New Roman"/>
          <w:b/>
          <w:sz w:val="32"/>
          <w:szCs w:val="32"/>
        </w:rPr>
      </w:pPr>
      <w:r>
        <w:rPr>
          <w:rFonts w:ascii="Times New Roman" w:cs="Times New Roman" w:hAnsi="Times New Roman"/>
          <w:b/>
          <w:sz w:val="32"/>
          <w:szCs w:val="32"/>
        </w:rPr>
        <w:t xml:space="preserve"> </w:t>
      </w:r>
    </w:p>
    <w:p>
      <w:pPr>
        <w:jc w:val="center"/>
        <w:rPr>
          <w:rFonts w:ascii="Times New Roman" w:cs="Times New Roman" w:hAnsi="Times New Roman"/>
          <w:b/>
          <w:sz w:val="32"/>
          <w:szCs w:val="32"/>
        </w:rPr>
      </w:pPr>
    </w:p>
    <w:p>
      <w:pPr>
        <w:jc w:val="center"/>
        <w:rPr>
          <w:rFonts w:ascii="Times New Roman" w:cs="Times New Roman" w:hAnsi="Times New Roman"/>
          <w:b/>
          <w:sz w:val="32"/>
          <w:szCs w:val="32"/>
        </w:rPr>
      </w:pPr>
    </w:p>
    <w:p>
      <w:pPr>
        <w:jc w:val="center"/>
        <w:rPr>
          <w:rFonts w:ascii="Times New Roman" w:cs="Times New Roman" w:hAnsi="Times New Roman"/>
          <w:b/>
          <w:sz w:val="32"/>
          <w:szCs w:val="32"/>
        </w:rPr>
      </w:pPr>
    </w:p>
    <w:p>
      <w:pPr>
        <w:jc w:val="center"/>
        <w:rPr>
          <w:rFonts w:ascii="Times New Roman" w:cs="Times New Roman" w:hAnsi="Times New Roman"/>
          <w:b/>
          <w:sz w:val="32"/>
          <w:szCs w:val="32"/>
        </w:rPr>
      </w:pPr>
    </w:p>
    <w:p>
      <w:pPr>
        <w:jc w:val="center"/>
        <w:rPr>
          <w:rFonts w:ascii="Times New Roman" w:cs="Times New Roman" w:hAnsi="Times New Roman"/>
          <w:b/>
          <w:sz w:val="32"/>
          <w:szCs w:val="32"/>
        </w:rPr>
      </w:pPr>
      <w:r>
        <w:rPr>
          <w:rFonts w:ascii="Times New Roman" w:cs="Times New Roman" w:hAnsi="Times New Roman"/>
          <w:b/>
          <w:sz w:val="32"/>
          <w:szCs w:val="32"/>
        </w:rPr>
        <w:br w:type="page"/>
      </w:r>
    </w:p>
    <w:p>
      <w:pPr>
        <w:jc w:val="center"/>
        <w:rPr>
          <w:rFonts w:ascii="Times New Roman" w:cs="Times New Roman" w:hAnsi="Times New Roman"/>
          <w:b/>
          <w:sz w:val="32"/>
          <w:szCs w:val="32"/>
        </w:rPr>
      </w:pPr>
      <w:r>
        <w:rPr>
          <w:rFonts w:ascii="Times New Roman" w:cs="Times New Roman" w:hAnsi="Times New Roman"/>
          <w:b/>
          <w:sz w:val="32"/>
          <w:szCs w:val="32"/>
        </w:rPr>
        <w:t xml:space="preserve"> </w:t>
      </w:r>
    </w:p>
    <w:p>
      <w:pPr>
        <w:jc w:val="center"/>
        <w:rPr>
          <w:rFonts w:ascii="Times New Roman" w:cs="Times New Roman" w:hAnsi="Times New Roman"/>
          <w:b/>
          <w:sz w:val="84"/>
          <w:szCs w:val="84"/>
        </w:rPr>
      </w:pPr>
      <w:r>
        <w:rPr>
          <w:rFonts w:ascii="Times New Roman" w:cs="Times New Roman" w:hAnsi="Times New Roman"/>
          <w:b/>
          <w:sz w:val="84"/>
          <w:szCs w:val="84"/>
        </w:rPr>
        <w:t xml:space="preserve">第四部分  </w:t>
      </w:r>
    </w:p>
    <w:p>
      <w:pPr>
        <w:jc w:val="center"/>
        <w:rPr>
          <w:rFonts w:ascii="Times New Roman" w:cs="Times New Roman" w:hAnsi="Times New Roman"/>
          <w:b/>
          <w:sz w:val="84"/>
          <w:szCs w:val="84"/>
        </w:rPr>
      </w:pPr>
      <w:r>
        <w:rPr>
          <w:rFonts w:ascii="Times New Roman" w:cs="Times New Roman" w:hAnsi="Times New Roman"/>
          <w:b/>
          <w:sz w:val="84"/>
          <w:szCs w:val="84"/>
        </w:rPr>
        <w:t>名词解释</w:t>
      </w:r>
    </w:p>
    <w:p>
      <w:pPr>
        <w:rPr>
          <w:rFonts w:ascii="Times New Roman" w:cs="Times New Roman" w:hAnsi="Times New Roman"/>
          <w:b/>
          <w:sz w:val="84"/>
          <w:szCs w:val="84"/>
        </w:rPr>
        <w:sectPr>
          <w:pgSz w:w="11906" w:h="16838"/>
          <w:pgMar w:top="1440" w:right="1800" w:bottom="1440" w:left="1800" w:header="851" w:footer="992" w:gutter="0"/>
          <w:cols w:num="1" w:space="720"/>
          <w:docGrid w:type="lines" w:linePitch="312" w:charSpace="0"/>
        </w:sectPr>
      </w:pP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一、一般公共预算拨款收入</w:t>
      </w:r>
      <w:r>
        <w:rPr>
          <w:rFonts w:ascii="Times New Roman" w:eastAsia="方正仿宋_GBK" w:cs="Times New Roman" w:hAnsi="Times New Roman"/>
          <w:sz w:val="32"/>
          <w:szCs w:val="32"/>
        </w:rPr>
        <w:t>：指中央财政当年拨付的资金。</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二、事业收入</w:t>
      </w:r>
      <w:r>
        <w:rPr>
          <w:rFonts w:ascii="Times New Roman" w:eastAsia="方正仿宋_GBK" w:cs="Times New Roman" w:hAnsi="Times New Roman"/>
          <w:sz w:val="32"/>
          <w:szCs w:val="32"/>
        </w:rPr>
        <w:t>：指海关系统所属事业单位开展专业业务活动及辅助活动取得的收入。</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三、事业单位经营收入</w:t>
      </w:r>
      <w:r>
        <w:rPr>
          <w:rFonts w:ascii="Times New Roman" w:eastAsia="方正仿宋_GBK" w:cs="Times New Roman" w:hAnsi="Times New Roman"/>
          <w:sz w:val="32"/>
          <w:szCs w:val="32"/>
        </w:rPr>
        <w:t>：指海关系统所属事业单位在专业业务活动及辅助活动之外，开展非独立核算经营活动取得的收入。</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四、其他收入</w:t>
      </w:r>
      <w:r>
        <w:rPr>
          <w:rFonts w:ascii="Times New Roman" w:eastAsia="方正仿宋_GBK" w:cs="Times New Roman" w:hAnsi="Times New Roman"/>
          <w:sz w:val="32"/>
          <w:szCs w:val="32"/>
        </w:rPr>
        <w:t>：指海关系统取得的除上述财政拨款收入、事业收入、事业单位经营收入等以外的收入。</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五、使用非财政拨款结余</w:t>
      </w:r>
      <w:r>
        <w:rPr>
          <w:rFonts w:ascii="Times New Roman" w:eastAsia="方正仿宋_GBK" w:cs="Times New Roman" w:hAnsi="Times New Roman"/>
          <w:sz w:val="32"/>
          <w:szCs w:val="32"/>
        </w:rPr>
        <w:t>：指海关系统所属事业单位预计收入小于支出时，用非财政拨款结余弥补本年度收支差额的数额。</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六、上年结转</w:t>
      </w:r>
      <w:r>
        <w:rPr>
          <w:rFonts w:ascii="Times New Roman" w:eastAsia="方正仿宋_GBK" w:cs="Times New Roman" w:hAnsi="Times New Roman"/>
          <w:sz w:val="32"/>
          <w:szCs w:val="32"/>
        </w:rPr>
        <w:t>：指以前年度尚未完成、结转到本年仍按原规定用途继续使用的资金等。</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七、一般公共服务支出（类）海关事务（款）</w:t>
      </w:r>
      <w:r>
        <w:rPr>
          <w:rFonts w:ascii="Times New Roman" w:eastAsia="方正仿宋_GBK" w:cs="Times New Roman" w:hAnsi="Times New Roman"/>
          <w:sz w:val="32"/>
          <w:szCs w:val="32"/>
        </w:rPr>
        <w:t>：反映海关用于系统行政和事业单位的基本支出及完成专项业务工作的项目支出。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（一）行政运行（项）</w:t>
      </w:r>
      <w:r>
        <w:rPr>
          <w:rFonts w:ascii="Times New Roman" w:eastAsia="方正仿宋_GBK" w:cs="Times New Roman" w:hAnsi="Times New Roman"/>
          <w:sz w:val="32"/>
          <w:szCs w:val="32"/>
        </w:rPr>
        <w:t>：反映海关系统行政单位（包括实行公务员管理的事业单位）的基本支出。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（二）一般行政管理事务（项）</w:t>
      </w:r>
      <w:r>
        <w:rPr>
          <w:rFonts w:ascii="Times New Roman" w:eastAsia="方正仿宋_GBK" w:cs="Times New Roman" w:hAnsi="Times New Roman"/>
          <w:sz w:val="32"/>
          <w:szCs w:val="32"/>
        </w:rPr>
        <w:t>：反映海关系统行政单位（包括实行公务员管理的事业单位）未单独设置项级科目的其他项目支出。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（三）机关服务（项）</w:t>
      </w:r>
      <w:r>
        <w:rPr>
          <w:rFonts w:ascii="Times New Roman" w:eastAsia="方正仿宋_GBK" w:cs="Times New Roman" w:hAnsi="Times New Roman"/>
          <w:sz w:val="32"/>
          <w:szCs w:val="32"/>
        </w:rPr>
        <w:t>：反映海关系统为行政单位（包括实行公务员管理的事业单位）提供后勤服务的各类后勤服务中心、医务室等附属事业单位的支出。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（四）缉私办案（项）</w:t>
      </w:r>
      <w:r>
        <w:rPr>
          <w:rFonts w:ascii="Times New Roman" w:eastAsia="方正仿宋_GBK" w:cs="Times New Roman" w:hAnsi="Times New Roman"/>
          <w:sz w:val="32"/>
          <w:szCs w:val="32"/>
        </w:rPr>
        <w:t>：反映海关用于缉私办案方面的支出。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（五）口岸管理（项）</w:t>
      </w:r>
      <w:r>
        <w:rPr>
          <w:rFonts w:ascii="Times New Roman" w:eastAsia="方正仿宋_GBK" w:cs="Times New Roman" w:hAnsi="Times New Roman"/>
          <w:sz w:val="32"/>
          <w:szCs w:val="32"/>
        </w:rPr>
        <w:t>：反映口岸业务管理及电子口岸建设、运行维护方面的支出。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（六）信息化建设（项）</w:t>
      </w:r>
      <w:r>
        <w:rPr>
          <w:rFonts w:ascii="Times New Roman" w:eastAsia="方正仿宋_GBK" w:cs="Times New Roman" w:hAnsi="Times New Roman"/>
          <w:sz w:val="32"/>
          <w:szCs w:val="32"/>
        </w:rPr>
        <w:t>：反映海关系统用于信息化建设及运行维护等方面的支出。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（七）海关关务（项）</w:t>
      </w:r>
      <w:r>
        <w:rPr>
          <w:rFonts w:ascii="Times New Roman" w:eastAsia="方正仿宋_GBK" w:cs="Times New Roman" w:hAnsi="Times New Roman"/>
          <w:sz w:val="32"/>
          <w:szCs w:val="32"/>
        </w:rPr>
        <w:t>：反映为海关行政执法提供业务保障、支持能力以及基础设施建设、设备设施运维等方面的支出。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（八）关税征管（项）</w:t>
      </w:r>
      <w:r>
        <w:rPr>
          <w:rFonts w:ascii="Times New Roman" w:eastAsia="方正仿宋_GBK" w:cs="Times New Roman" w:hAnsi="Times New Roman"/>
          <w:sz w:val="32"/>
          <w:szCs w:val="32"/>
        </w:rPr>
        <w:t>：反映海关系统用于关税及其他税费征管方面的支出。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（九）海关监管（项）</w:t>
      </w:r>
      <w:r>
        <w:rPr>
          <w:rFonts w:ascii="Times New Roman" w:eastAsia="方正仿宋_GBK" w:cs="Times New Roman" w:hAnsi="Times New Roman"/>
          <w:sz w:val="32"/>
          <w:szCs w:val="32"/>
        </w:rPr>
        <w:t>：反映海关系统用于监管执法、业务管理及相关设备、技术支持方面的支出。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（十）检验检疫（项）</w:t>
      </w:r>
      <w:r>
        <w:rPr>
          <w:rFonts w:ascii="Times New Roman" w:eastAsia="方正仿宋_GBK" w:cs="Times New Roman" w:hAnsi="Times New Roman"/>
          <w:sz w:val="32"/>
          <w:szCs w:val="32"/>
        </w:rPr>
        <w:t>：反映海关系统用于出入境检验检疫行政执法、业务管理及相关技术支持方面的支出。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（十一）事业运行（项）</w:t>
      </w:r>
      <w:r>
        <w:rPr>
          <w:rFonts w:ascii="Times New Roman" w:eastAsia="方正仿宋_GBK" w:cs="Times New Roman" w:hAnsi="Times New Roman"/>
          <w:sz w:val="32"/>
          <w:szCs w:val="32"/>
        </w:rPr>
        <w:t>：反映海关事业单位的基本支出，不包括行政单位（包括实行公务员管理的事业单位）后勤服务中心、医务室等附属事业单位。</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（十二）其他海关事务支出（项）</w:t>
      </w:r>
      <w:r>
        <w:rPr>
          <w:rFonts w:ascii="Times New Roman" w:eastAsia="方正仿宋_GBK" w:cs="Times New Roman" w:hAnsi="Times New Roman"/>
          <w:sz w:val="32"/>
          <w:szCs w:val="32"/>
        </w:rPr>
        <w:t>：反映除上述项目以外其他海关事务方面的支出。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（十三）派驻派出机构（项）</w:t>
      </w:r>
      <w:r>
        <w:rPr>
          <w:rFonts w:ascii="Times New Roman" w:eastAsia="方正仿宋_GBK" w:cs="Times New Roman" w:hAnsi="Times New Roman"/>
          <w:sz w:val="32"/>
          <w:szCs w:val="32"/>
        </w:rPr>
        <w:t>：指中央纪委国家监委驻海关总署开展工作的专项业务支出。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八、外交支出（类）对外援助（款）对外援助（项）</w:t>
      </w:r>
      <w:r>
        <w:rPr>
          <w:rFonts w:ascii="Times New Roman" w:eastAsia="方正仿宋_GBK" w:cs="Times New Roman" w:hAnsi="Times New Roman"/>
          <w:sz w:val="32"/>
          <w:szCs w:val="32"/>
        </w:rPr>
        <w:t>：指对外国政府（地区）提供的各种援助和技术合作支出。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九、外交支出（类）驻外机构（款）其他驻外机构支出（项）</w:t>
      </w:r>
      <w:r>
        <w:rPr>
          <w:rFonts w:ascii="Times New Roman" w:eastAsia="方正仿宋_GBK" w:cs="Times New Roman" w:hAnsi="Times New Roman"/>
          <w:sz w:val="32"/>
          <w:szCs w:val="32"/>
        </w:rPr>
        <w:t>：反映用于保障海关系统驻外机构正常运行的支出。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十、外交支出（类）国际组织（款）国际组织会费（项）</w:t>
      </w:r>
      <w:r>
        <w:rPr>
          <w:rFonts w:ascii="Times New Roman" w:eastAsia="方正仿宋_GBK" w:cs="Times New Roman" w:hAnsi="Times New Roman"/>
          <w:sz w:val="32"/>
          <w:szCs w:val="32"/>
        </w:rPr>
        <w:t>：反映海关经批准参加国际组织，按国际组织规定缴纳的会费。</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十一、外交支出（类）国际组织（款）国际组织捐赠（项）</w:t>
      </w:r>
      <w:r>
        <w:rPr>
          <w:rFonts w:ascii="Times New Roman" w:eastAsia="方正仿宋_GBK" w:cs="Times New Roman" w:hAnsi="Times New Roman"/>
          <w:sz w:val="32"/>
          <w:szCs w:val="32"/>
        </w:rPr>
        <w:t>：反映以我国政府或海关总署名义，向国际组织的认捐、救灾、馈赠等支出。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十二、外交支出（类）对外合作与交流（款）对外合作活动（项）</w:t>
      </w:r>
      <w:r>
        <w:rPr>
          <w:rFonts w:ascii="Times New Roman" w:eastAsia="方正仿宋_GBK" w:cs="Times New Roman" w:hAnsi="Times New Roman"/>
          <w:sz w:val="32"/>
          <w:szCs w:val="32"/>
        </w:rPr>
        <w:t>：反映海关用于外交目的的对外合作方面支出。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十三、外交支出（类）其他外交支出（款）其他外交支出（项）</w:t>
      </w:r>
      <w:r>
        <w:rPr>
          <w:rFonts w:ascii="Times New Roman" w:eastAsia="方正仿宋_GBK" w:cs="Times New Roman" w:hAnsi="Times New Roman"/>
          <w:sz w:val="32"/>
          <w:szCs w:val="32"/>
        </w:rPr>
        <w:t>：反映除上述项目以外其他用于外交方面的支出。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十四、公共安全支出（类）缉私警察（款）</w:t>
      </w:r>
      <w:r>
        <w:rPr>
          <w:rFonts w:ascii="Times New Roman" w:eastAsia="方正仿宋_GBK" w:cs="Times New Roman" w:hAnsi="Times New Roman"/>
          <w:sz w:val="32"/>
          <w:szCs w:val="32"/>
        </w:rPr>
        <w:t>：反映海关缉私警察的基本支出及完成专项业务工作的项目支出。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十五、教育支出（类）普通教育（款）高等教育（项）</w:t>
      </w:r>
      <w:r>
        <w:rPr>
          <w:rFonts w:ascii="Times New Roman" w:eastAsia="方正仿宋_GBK" w:cs="Times New Roman" w:hAnsi="Times New Roman"/>
          <w:sz w:val="32"/>
          <w:szCs w:val="32"/>
        </w:rPr>
        <w:t>：反映海关所属院校教学等方面的支出。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十六、教育支出（类）进修及培训（款）培训支出（项）</w:t>
      </w:r>
      <w:r>
        <w:rPr>
          <w:rFonts w:ascii="Times New Roman" w:eastAsia="方正仿宋_GBK" w:cs="Times New Roman" w:hAnsi="Times New Roman"/>
          <w:sz w:val="32"/>
          <w:szCs w:val="32"/>
        </w:rPr>
        <w:t>：反映海关安排的用于培训的支出。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十七、社会保障和就业支出（类）行政事业单位养老支出（款）</w:t>
      </w:r>
      <w:r>
        <w:rPr>
          <w:rFonts w:ascii="Times New Roman" w:eastAsia="方正仿宋_GBK" w:cs="Times New Roman" w:hAnsi="Times New Roman"/>
          <w:sz w:val="32"/>
          <w:szCs w:val="32"/>
        </w:rPr>
        <w:t>：反映用于海关行政事业单位养老方面的支出。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（一）行政单位离退休（项）</w:t>
      </w:r>
      <w:r>
        <w:rPr>
          <w:rFonts w:ascii="Times New Roman" w:eastAsia="方正仿宋_GBK" w:cs="Times New Roman" w:hAnsi="Times New Roman"/>
          <w:sz w:val="32"/>
          <w:szCs w:val="32"/>
        </w:rPr>
        <w:t>：反映海关系统行政单位（包括实行公务员管理的事业单位）开支的离退休经费。</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（二）事业单位离退休（项）</w:t>
      </w:r>
      <w:r>
        <w:rPr>
          <w:rFonts w:ascii="Times New Roman" w:eastAsia="方正仿宋_GBK" w:cs="Times New Roman" w:hAnsi="Times New Roman"/>
          <w:sz w:val="32"/>
          <w:szCs w:val="32"/>
        </w:rPr>
        <w:t>：反映海关系统事业单位开支的离退休经费。</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（三）离退休人员管理机构（项）</w:t>
      </w:r>
      <w:r>
        <w:rPr>
          <w:rFonts w:ascii="Times New Roman" w:eastAsia="方正仿宋_GBK" w:cs="Times New Roman" w:hAnsi="Times New Roman"/>
          <w:sz w:val="32"/>
          <w:szCs w:val="32"/>
        </w:rPr>
        <w:t>：反映海关系统为离退休人员提供管理服务的离退休管理机构的支出。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（四）机关事业单位基本养老保险缴费支出（项）</w:t>
      </w:r>
      <w:r>
        <w:rPr>
          <w:rFonts w:ascii="Times New Roman" w:eastAsia="方正仿宋_GBK" w:cs="Times New Roman" w:hAnsi="Times New Roman"/>
          <w:sz w:val="32"/>
          <w:szCs w:val="32"/>
        </w:rPr>
        <w:t>：反映已参加当地社保的在职人员的基本养老保险支出。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（五）机关事业单位职业年金缴费支出（项）</w:t>
      </w:r>
      <w:r>
        <w:rPr>
          <w:rFonts w:ascii="Times New Roman" w:eastAsia="方正仿宋_GBK" w:cs="Times New Roman" w:hAnsi="Times New Roman"/>
          <w:sz w:val="32"/>
          <w:szCs w:val="32"/>
        </w:rPr>
        <w:t>：反映已参加当地社保的在职人员的职业年金支出。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十八、住房保障支出（类）住房改革支出（款）</w:t>
      </w:r>
      <w:r>
        <w:rPr>
          <w:rFonts w:ascii="Times New Roman" w:eastAsia="方正仿宋_GBK" w:cs="Times New Roman" w:hAnsi="Times New Roman"/>
          <w:sz w:val="32"/>
          <w:szCs w:val="32"/>
        </w:rPr>
        <w:t>：反映海关系统按照国家政策规定为职工发放的住房公积金、提租补贴和购房补贴等支出。住房改革支出包括三项：</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（一）住房公积金（项）</w:t>
      </w:r>
      <w:r>
        <w:rPr>
          <w:rFonts w:ascii="Times New Roman" w:eastAsia="方正仿宋_GBK" w:cs="Times New Roman" w:hAnsi="Times New Roman"/>
          <w:sz w:val="32"/>
          <w:szCs w:val="32"/>
        </w:rPr>
        <w:t>：住房公积金是按照《住房公积金管理条例》的规定，由单位及其在职职工缴存的长期住房储金。该项政策始于上世纪九十年代中期，在全国机关、企事业单位在职职工中普遍实施，缴存比例最低不低于5％，最高不超过12％，缴存基数为职工本人上年工资，目前已实施近20年时间。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（二）提租补贴（项）</w:t>
      </w:r>
      <w:r>
        <w:rPr>
          <w:rFonts w:ascii="Times New Roman" w:eastAsia="方正仿宋_GBK" w:cs="Times New Roman" w:hAnsi="Times New Roman"/>
          <w:sz w:val="32"/>
          <w:szCs w:val="32"/>
        </w:rPr>
        <w:t>：提租补贴是经国务院批准，于2000年开始针对在京中央单位公有住房租金标准提高发放的补贴，中央在京单位按照在职在编职工人数和离退休人数以及相应职级的补贴标准确定，人均月补贴90元。</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（三）购房补贴（项）</w:t>
      </w:r>
      <w:r>
        <w:rPr>
          <w:rFonts w:ascii="Times New Roman" w:eastAsia="方正仿宋_GBK" w:cs="Times New Roman" w:hAnsi="Times New Roman"/>
          <w:sz w:val="32"/>
          <w:szCs w:val="32"/>
        </w:rPr>
        <w:t>：购房补贴是根据《国务院关于进一步深化城镇住房制度改革加快住房建设的通知》（国发〔1998〕23号）的规定，从1998年下半年停止实物分房后，房价收入比超过4倍以上地区对无房和住房未达标职工发放的住房货币化改革补贴资金。中央行政事业单位从2000年开始发放购房补贴资金，地方行政事业单位从1999年陆续开始发放购房补贴资金，企业根据本单位情况自行确定。在京中央单位按照《中共中央办公厅国务院办公厅转发建设部等单位&lt;关于完善在京中央和国家机关住房制度的若干意见&gt;的通知》（厅字〔2005〕8号）规定的标准执行，京外中央单位按照所在地人民政府住房分配货币化改革的政策规定和标准执行。</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十九、卫生健康支出（类）行政事业单位医疗（款）</w:t>
      </w:r>
      <w:r>
        <w:rPr>
          <w:rFonts w:ascii="Times New Roman" w:eastAsia="方正仿宋_GBK" w:cs="Times New Roman" w:hAnsi="Times New Roman"/>
          <w:sz w:val="32"/>
          <w:szCs w:val="32"/>
        </w:rPr>
        <w:t>：反映已参加当地医保的海关单位用于向地方社保部门缴纳的基本医疗保险和公务员医疗补助支出。</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（一）行政单位医疗（项）</w:t>
      </w:r>
      <w:r>
        <w:rPr>
          <w:rFonts w:ascii="Times New Roman" w:eastAsia="方正仿宋_GBK" w:cs="Times New Roman" w:hAnsi="Times New Roman"/>
          <w:sz w:val="32"/>
          <w:szCs w:val="32"/>
        </w:rPr>
        <w:t>：指中央财政集中安排的驻各地海关单位基本医疗保险缴费经费。</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（二）公务员医疗补助（项）</w:t>
      </w:r>
      <w:r>
        <w:rPr>
          <w:rFonts w:ascii="Times New Roman" w:eastAsia="方正仿宋_GBK" w:cs="Times New Roman" w:hAnsi="Times New Roman"/>
          <w:sz w:val="32"/>
          <w:szCs w:val="32"/>
        </w:rPr>
        <w:t>：指中央财政集中安排的驻各地海关单位公务员医疗补助经费。</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二十、“三公”经费</w:t>
      </w:r>
      <w:r>
        <w:rPr>
          <w:rFonts w:ascii="Times New Roman" w:eastAsia="方正仿宋_GBK" w:cs="Times New Roman" w:hAnsi="Times New Roman"/>
          <w:sz w:val="32"/>
          <w:szCs w:val="32"/>
        </w:rPr>
        <w:t>：纳入中央财政预决算管理的“三公”经费，是指中央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及燃料费、维修费、过路过桥费、保险费、安全奖励费用等支出；公务接待费反映单位按规定开支的各类公务接待（含外宾接待）支出。</w:t>
      </w:r>
    </w:p>
    <w:p>
      <w:pPr>
        <w:spacing w:line="560" w:lineRule="exact"/>
        <w:ind w:firstLineChars="200" w:firstLine="640"/>
        <w:rPr>
          <w:rFonts w:ascii="Times New Roman" w:eastAsia="方正仿宋_GBK" w:cs="Times New Roman" w:hAnsi="Times New Roman"/>
          <w:sz w:val="32"/>
          <w:szCs w:val="32"/>
        </w:rPr>
        <w:sectPr>
          <w:pgSz w:w="11906" w:h="16838"/>
          <w:pgMar w:top="1440" w:right="1800" w:bottom="1440" w:left="1800" w:header="851" w:footer="992" w:gutter="0"/>
          <w:cols w:num="1" w:space="720"/>
          <w:docGrid w:type="lines" w:linePitch="312" w:charSpace="0"/>
        </w:sectPr>
      </w:pPr>
      <w:r>
        <w:rPr>
          <w:rFonts w:ascii="Times New Roman" w:eastAsia="方正仿宋_GBK" w:cs="Times New Roman" w:hAnsi="Times New Roman"/>
          <w:b/>
          <w:bCs/>
          <w:sz w:val="32"/>
          <w:szCs w:val="32"/>
        </w:rPr>
        <w:t>二十一、机关运行经费</w:t>
      </w:r>
      <w:r>
        <w:rPr>
          <w:rFonts w:ascii="Times New Roman" w:eastAsia="方正仿宋_GBK" w:cs="Times New Roman" w:hAnsi="Times New Roman"/>
          <w:sz w:val="32"/>
          <w:szCs w:val="32"/>
        </w:rPr>
        <w:t>：为保障行政单位（包括参照公务员法管理事业单位）运行用于购买货物和服务的各项资金，包括办公及印刷费、邮电费、差旅费、会议费、日常维修费、专用材料及一般设备购置费、办公用房水电费、办公用房取暖费、办公用房物业管理费、公务用车运行维护费以及其他费用。</w:t>
      </w:r>
    </w:p>
    <w:p>
      <w:pPr>
        <w:jc w:val="center"/>
        <w:rPr>
          <w:rFonts w:ascii="Times New Roman" w:cs="Times New Roman" w:hAnsi="Times New Roman"/>
          <w:b/>
          <w:sz w:val="84"/>
          <w:szCs w:val="84"/>
        </w:rPr>
      </w:pPr>
    </w:p>
    <w:p>
      <w:pPr>
        <w:jc w:val="center"/>
        <w:rPr>
          <w:rFonts w:ascii="Times New Roman" w:cs="Times New Roman" w:hAnsi="Times New Roman"/>
          <w:b/>
          <w:sz w:val="84"/>
          <w:szCs w:val="84"/>
        </w:rPr>
      </w:pPr>
    </w:p>
    <w:p>
      <w:pPr>
        <w:jc w:val="center"/>
        <w:rPr>
          <w:rFonts w:ascii="Times New Roman" w:cs="Times New Roman" w:hAnsi="Times New Roman"/>
          <w:b/>
          <w:sz w:val="84"/>
          <w:szCs w:val="84"/>
        </w:rPr>
      </w:pPr>
    </w:p>
    <w:p>
      <w:pPr>
        <w:jc w:val="center"/>
        <w:rPr>
          <w:rFonts w:ascii="Times New Roman" w:cs="Times New Roman" w:hAnsi="Times New Roman"/>
          <w:b/>
          <w:sz w:val="84"/>
          <w:szCs w:val="84"/>
        </w:rPr>
      </w:pPr>
    </w:p>
    <w:p>
      <w:pPr>
        <w:jc w:val="center"/>
        <w:rPr>
          <w:rFonts w:ascii="Times New Roman" w:cs="Times New Roman" w:hAnsi="Times New Roman"/>
          <w:b/>
          <w:sz w:val="84"/>
          <w:szCs w:val="84"/>
        </w:rPr>
      </w:pPr>
      <w:r>
        <w:rPr>
          <w:rFonts w:ascii="Times New Roman" w:cs="Times New Roman" w:hAnsi="Times New Roman"/>
          <w:b/>
          <w:sz w:val="84"/>
          <w:szCs w:val="84"/>
        </w:rPr>
        <w:t>第五部分</w:t>
      </w:r>
    </w:p>
    <w:p>
      <w:pPr>
        <w:jc w:val="center"/>
        <w:rPr>
          <w:rFonts w:ascii="Times New Roman" w:cs="Times New Roman" w:hAnsi="Times New Roman"/>
          <w:b/>
          <w:sz w:val="84"/>
          <w:szCs w:val="84"/>
          <w:highlight w:val="yellow"/>
        </w:rPr>
      </w:pPr>
      <w:r>
        <w:rPr>
          <w:rFonts w:ascii="Times New Roman" w:cs="Times New Roman" w:hAnsi="Times New Roman"/>
          <w:b/>
          <w:sz w:val="84"/>
          <w:szCs w:val="84"/>
        </w:rPr>
        <w:t>附件</w:t>
      </w: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r>
        <w:drawing>
          <wp:inline distT="0" distB="0" distL="0" distR="0">
            <wp:extent cx="5273711" cy="6143625"/>
            <wp:effectExtent l="0" t="0" r="0" b="0"/>
            <wp:docPr id="27" name="图片 28"/>
            <wp:cNvGraphicFramePr>
              <a:graphicFrameLocks noChangeAspect="1"/>
            </wp:cNvGraphicFramePr>
            <a:graphic>
              <a:graphicData uri="http://schemas.openxmlformats.org/drawingml/2006/picture">
                <pic:pic>
                  <pic:nvPicPr>
                    <pic:cNvPr id="29" name="图片 28 29"/>
                    <pic:cNvPicPr/>
                  </pic:nvPicPr>
                  <pic:blipFill>
                    <a:blip r:embed="rId11"/>
                    <a:stretch>
                      <a:fillRect/>
                    </a:stretch>
                  </pic:blipFill>
                  <pic:spPr>
                    <a:xfrm rot="0">
                      <a:off x="0" y="0"/>
                      <a:ext cx="5273711" cy="6143625"/>
                    </a:xfrm>
                    <a:prstGeom prst="rect"/>
                    <a:noFill/>
                    <a:ln w="9525" cmpd="sng" cap="flat">
                      <a:noFill/>
                      <a:prstDash val="solid"/>
                      <a:round/>
                    </a:ln>
                  </pic:spPr>
                </pic:pic>
              </a:graphicData>
            </a:graphic>
          </wp:inline>
        </w:drawing>
      </w: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r>
        <w:drawing>
          <wp:inline distT="0" distB="0" distL="0" distR="0">
            <wp:extent cx="5274121" cy="5648325"/>
            <wp:effectExtent l="0" t="0" r="0" b="0"/>
            <wp:docPr id="30" name="图片 31"/>
            <wp:cNvGraphicFramePr>
              <a:graphicFrameLocks noChangeAspect="1"/>
            </wp:cNvGraphicFramePr>
            <a:graphic>
              <a:graphicData uri="http://schemas.openxmlformats.org/drawingml/2006/picture">
                <pic:pic>
                  <pic:nvPicPr>
                    <pic:cNvPr id="32" name="图片 31 32"/>
                    <pic:cNvPicPr/>
                  </pic:nvPicPr>
                  <pic:blipFill>
                    <a:blip r:embed="rId12"/>
                    <a:stretch>
                      <a:fillRect/>
                    </a:stretch>
                  </pic:blipFill>
                  <pic:spPr>
                    <a:xfrm rot="0">
                      <a:off x="0" y="0"/>
                      <a:ext cx="5274121" cy="5648325"/>
                    </a:xfrm>
                    <a:prstGeom prst="rect"/>
                    <a:noFill/>
                    <a:ln w="9525" cmpd="sng" cap="flat">
                      <a:noFill/>
                      <a:prstDash val="solid"/>
                      <a:round/>
                    </a:ln>
                  </pic:spPr>
                </pic:pic>
              </a:graphicData>
            </a:graphic>
          </wp:inline>
        </w:drawing>
      </w: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r>
        <w:drawing>
          <wp:inline distT="0" distB="0" distL="0" distR="0">
            <wp:extent cx="5273754" cy="5419725"/>
            <wp:effectExtent l="0" t="0" r="0" b="0"/>
            <wp:docPr id="33" name="图片 34"/>
            <wp:cNvGraphicFramePr>
              <a:graphicFrameLocks noChangeAspect="1"/>
            </wp:cNvGraphicFramePr>
            <a:graphic>
              <a:graphicData uri="http://schemas.openxmlformats.org/drawingml/2006/picture">
                <pic:pic>
                  <pic:nvPicPr>
                    <pic:cNvPr id="35" name="图片 34 35"/>
                    <pic:cNvPicPr/>
                  </pic:nvPicPr>
                  <pic:blipFill>
                    <a:blip r:embed="rId13"/>
                    <a:stretch>
                      <a:fillRect/>
                    </a:stretch>
                  </pic:blipFill>
                  <pic:spPr>
                    <a:xfrm rot="0">
                      <a:off x="0" y="0"/>
                      <a:ext cx="5273754" cy="5419725"/>
                    </a:xfrm>
                    <a:prstGeom prst="rect"/>
                    <a:noFill/>
                    <a:ln w="9525" cmpd="sng" cap="flat">
                      <a:noFill/>
                      <a:prstDash val="solid"/>
                      <a:round/>
                    </a:ln>
                  </pic:spPr>
                </pic:pic>
              </a:graphicData>
            </a:graphic>
          </wp:inline>
        </w:drawing>
      </w: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r>
        <w:drawing>
          <wp:inline distT="0" distB="0" distL="0" distR="0">
            <wp:extent cx="5274064" cy="5314948"/>
            <wp:effectExtent l="0" t="0" r="0" b="0"/>
            <wp:docPr id="36" name="图片 37"/>
            <wp:cNvGraphicFramePr>
              <a:graphicFrameLocks noChangeAspect="1"/>
            </wp:cNvGraphicFramePr>
            <a:graphic>
              <a:graphicData uri="http://schemas.openxmlformats.org/drawingml/2006/picture">
                <pic:pic>
                  <pic:nvPicPr>
                    <pic:cNvPr id="38" name="图片 37 38"/>
                    <pic:cNvPicPr/>
                  </pic:nvPicPr>
                  <pic:blipFill>
                    <a:blip r:embed="rId14"/>
                    <a:stretch>
                      <a:fillRect/>
                    </a:stretch>
                  </pic:blipFill>
                  <pic:spPr>
                    <a:xfrm rot="0">
                      <a:off x="0" y="0"/>
                      <a:ext cx="5274064" cy="5314948"/>
                    </a:xfrm>
                    <a:prstGeom prst="rect"/>
                    <a:noFill/>
                    <a:ln w="9525" cmpd="sng" cap="flat">
                      <a:noFill/>
                      <a:prstDash val="solid"/>
                      <a:round/>
                    </a:ln>
                  </pic:spPr>
                </pic:pic>
              </a:graphicData>
            </a:graphic>
          </wp:inline>
        </w:drawing>
      </w: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cs="Times New Roman" w:hAnsi="Times New Roman"/>
        </w:rPr>
      </w:pPr>
      <w:r>
        <w:drawing>
          <wp:inline distT="0" distB="0" distL="0" distR="0">
            <wp:extent cx="5273742" cy="5543550"/>
            <wp:effectExtent l="0" t="0" r="0" b="0"/>
            <wp:docPr id="39" name="图片 40"/>
            <wp:cNvGraphicFramePr>
              <a:graphicFrameLocks noChangeAspect="1"/>
            </wp:cNvGraphicFramePr>
            <a:graphic>
              <a:graphicData uri="http://schemas.openxmlformats.org/drawingml/2006/picture">
                <pic:pic>
                  <pic:nvPicPr>
                    <pic:cNvPr id="41" name="图片 40 41"/>
                    <pic:cNvPicPr/>
                  </pic:nvPicPr>
                  <pic:blipFill>
                    <a:blip r:embed="rId15"/>
                    <a:stretch>
                      <a:fillRect/>
                    </a:stretch>
                  </pic:blipFill>
                  <pic:spPr>
                    <a:xfrm rot="0">
                      <a:off x="0" y="0"/>
                      <a:ext cx="5273742" cy="5543550"/>
                    </a:xfrm>
                    <a:prstGeom prst="rect"/>
                    <a:noFill/>
                    <a:ln w="9525" cmpd="sng" cap="flat">
                      <a:noFill/>
                      <a:prstDash val="solid"/>
                      <a:round/>
                    </a:ln>
                  </pic:spPr>
                </pic:pic>
              </a:graphicData>
            </a:graphic>
          </wp:inline>
        </w:drawing>
      </w:r>
    </w:p>
    <w:p>
      <w:pPr>
        <w:jc w:val="left"/>
        <w:rPr>
          <w:rFonts w:ascii="Times New Roman" w:cs="Times New Roman" w:hAnsi="Times New Roman"/>
        </w:rPr>
      </w:pPr>
    </w:p>
    <w:p>
      <w:pPr>
        <w:jc w:val="left"/>
        <w:rPr>
          <w:rFonts w:ascii="Times New Roman" w:cs="Times New Roman" w:hAnsi="Times New Roman"/>
        </w:rPr>
      </w:pPr>
    </w:p>
    <w:p>
      <w:pPr>
        <w:jc w:val="left"/>
        <w:rPr>
          <w:rFonts w:ascii="Times New Roman" w:cs="Times New Roman" w:hAnsi="Times New Roman"/>
        </w:rPr>
      </w:pPr>
    </w:p>
    <w:p>
      <w:pPr>
        <w:jc w:val="left"/>
        <w:rPr>
          <w:rFonts w:ascii="Times New Roman" w:cs="Times New Roman" w:hAnsi="Times New Roman"/>
        </w:rPr>
      </w:pPr>
    </w:p>
    <w:p>
      <w:pPr>
        <w:jc w:val="left"/>
        <w:rPr>
          <w:rFonts w:ascii="Times New Roman" w:cs="Times New Roman" w:hAnsi="Times New Roman"/>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cs="Times New Roman" w:hAnsi="Times New Roman"/>
        </w:rPr>
      </w:pPr>
      <w:r>
        <w:drawing>
          <wp:inline distT="0" distB="0" distL="0" distR="0">
            <wp:extent cx="5274310" cy="4618663"/>
            <wp:effectExtent l="0" t="0" r="0" b="0"/>
            <wp:docPr id="42" name="图片 43"/>
            <wp:cNvGraphicFramePr>
              <a:graphicFrameLocks noChangeAspect="1"/>
            </wp:cNvGraphicFramePr>
            <a:graphic>
              <a:graphicData uri="http://schemas.openxmlformats.org/drawingml/2006/picture">
                <pic:pic>
                  <pic:nvPicPr>
                    <pic:cNvPr id="44" name="图片 43 44"/>
                    <pic:cNvPicPr/>
                  </pic:nvPicPr>
                  <pic:blipFill>
                    <a:blip r:embed="rId16"/>
                    <a:stretch>
                      <a:fillRect/>
                    </a:stretch>
                  </pic:blipFill>
                  <pic:spPr>
                    <a:xfrm rot="0">
                      <a:off x="0" y="0"/>
                      <a:ext cx="5274310" cy="4618663"/>
                    </a:xfrm>
                    <a:prstGeom prst="rect"/>
                    <a:noFill/>
                    <a:ln w="9525" cmpd="sng" cap="flat">
                      <a:noFill/>
                      <a:prstDash val="solid"/>
                      <a:round/>
                    </a:ln>
                  </pic:spPr>
                </pic:pic>
              </a:graphicData>
            </a:graphic>
          </wp:inline>
        </w:drawing>
      </w:r>
    </w:p>
    <w:p>
      <w:pPr>
        <w:jc w:val="left"/>
        <w:rPr>
          <w:rFonts w:ascii="Times New Roman" w:cs="Times New Roman" w:hAnsi="Times New Roman"/>
        </w:rPr>
      </w:pPr>
    </w:p>
    <w:p>
      <w:pPr>
        <w:jc w:val="left"/>
        <w:rPr>
          <w:rFonts w:ascii="Times New Roman" w:cs="Times New Roman" w:hAnsi="Times New Roman"/>
        </w:rPr>
      </w:pPr>
    </w:p>
    <w:p>
      <w:pPr>
        <w:jc w:val="left"/>
        <w:rPr>
          <w:rFonts w:ascii="Times New Roman" w:cs="Times New Roman" w:hAnsi="Times New Roman"/>
        </w:rPr>
      </w:pPr>
    </w:p>
    <w:p>
      <w:pPr>
        <w:jc w:val="left"/>
        <w:rPr>
          <w:rFonts w:ascii="Times New Roman" w:cs="Times New Roman" w:hAnsi="Times New Roman"/>
        </w:rPr>
      </w:pPr>
    </w:p>
    <w:p>
      <w:pPr>
        <w:jc w:val="left"/>
        <w:rPr>
          <w:rFonts w:ascii="Times New Roman" w:cs="Times New Roman" w:hAnsi="Times New Roman"/>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p>
    <w:p>
      <w:pPr>
        <w:jc w:val="left"/>
        <w:rPr>
          <w:rFonts w:ascii="Times New Roman" w:eastAsia="方正仿宋_GBK" w:cs="Times New Roman" w:hAnsi="Times New Roman"/>
          <w:sz w:val="32"/>
          <w:szCs w:val="32"/>
        </w:rPr>
      </w:pPr>
      <w:r>
        <w:drawing>
          <wp:inline distT="0" distB="0" distL="0" distR="0">
            <wp:extent cx="5273671" cy="5248273"/>
            <wp:effectExtent l="0" t="0" r="0" b="0"/>
            <wp:docPr id="45" name="图片 46"/>
            <wp:cNvGraphicFramePr>
              <a:graphicFrameLocks noChangeAspect="1"/>
            </wp:cNvGraphicFramePr>
            <a:graphic>
              <a:graphicData uri="http://schemas.openxmlformats.org/drawingml/2006/picture">
                <pic:pic>
                  <pic:nvPicPr>
                    <pic:cNvPr id="47" name="图片 46 47"/>
                    <pic:cNvPicPr/>
                  </pic:nvPicPr>
                  <pic:blipFill>
                    <a:blip r:embed="rId17"/>
                    <a:stretch>
                      <a:fillRect/>
                    </a:stretch>
                  </pic:blipFill>
                  <pic:spPr>
                    <a:xfrm rot="0">
                      <a:off x="0" y="0"/>
                      <a:ext cx="5273671" cy="5248273"/>
                    </a:xfrm>
                    <a:prstGeom prst="rect"/>
                    <a:noFill/>
                    <a:ln w="9525" cmpd="sng" cap="flat">
                      <a:noFill/>
                      <a:prstDash val="solid"/>
                      <a:round/>
                    </a:ln>
                  </pic:spPr>
                </pic:pic>
              </a:graphicData>
            </a:graphic>
          </wp:inline>
        </w:drawing>
      </w:r>
    </w:p>
    <w:sectPr>
      <w:pgSz w:w="11906" w:h="16838"/>
      <w:pgMar w:top="1440" w:right="1800" w:bottom="1440" w:left="1800" w:header="851" w:footer="992" w:gutter="0"/>
      <w:cols w:num="1" w:space="72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altName w:val="微软雅黑"/>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仿宋_GBK">
    <w:altName w:val="微软雅黑"/>
    <w:panose1 w:val="03000509000000000000"/>
    <w:charset w:val="86"/>
    <w:family w:val="script"/>
    <w:pitch w:val="variable"/>
    <w:sig w:usb0="00000001" w:usb1="080E0000" w:usb2="00000010" w:usb3="00000000" w:csb0="00040000" w:csb1="00000000"/>
  </w:font>
  <w:font w:name="方正黑体_GBK">
    <w:altName w:val="微软雅黑"/>
    <w:panose1 w:val="03000509000000000000"/>
    <w:charset w:val="86"/>
    <w:family w:val="script"/>
    <w:pitch w:val="variable"/>
    <w:sig w:usb0="00000001" w:usb1="080E0000" w:usb2="00000010" w:usb3="00000000" w:csb0="00040000" w:csb1="00000000"/>
  </w:font>
  <w:font w:name="黑体">
    <w:altName w:val="国标黑体"/>
    <w:panose1 w:val="02010609060101010101"/>
    <w:charset w:val="86"/>
    <w:family w:val="modern"/>
    <w:pitch w:val="variable"/>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方正楷体_GBK">
    <w:altName w:val="微软雅黑"/>
    <w:panose1 w:val="03000509000000000000"/>
    <w:charset w:val="86"/>
    <w:family w:val="script"/>
    <w:pitch w:val="variable"/>
    <w:sig w:usb0="00000001" w:usb1="080E0000" w:usb2="00000010" w:usb3="00000000" w:csb0="00040000" w:csb1="00000000"/>
  </w:font>
  <w:font w:name="Lucida Sans">
    <w:altName w:val="DejaVu Sans"/>
    <w:panose1 w:val="020B0602030504020204"/>
    <w:charset w:val="00"/>
    <w:family w:val="auto"/>
    <w:pitch w:val="variable"/>
    <w:sig w:usb0="00000003" w:usb1="00000000" w:usb2="00000000" w:usb3="00000000" w:csb0="20000001" w:csb1="00000000"/>
  </w:font>
  <w:font w:name="Calibri">
    <w:altName w:val="Times New Roman"/>
    <w:panose1 w:val="020F0502020204030204"/>
    <w:charset w:val="00"/>
    <w:family w:val="swiss"/>
    <w:pitch w:val="variable"/>
    <w:sig w:usb0="E00002FF" w:usb1="4000ACFF" w:usb2="00000001" w:usb3="00000000" w:csb0="0000019F" w:csb1="00000000"/>
  </w:font>
  <w:font w:name="Arial">
    <w:altName w:val="DejaVu Sans"/>
    <w:panose1 w:val="020B0604020202020204"/>
    <w:charset w:val="00"/>
    <w:family w:val="swiss"/>
    <w:pitch w:val="variable"/>
    <w:sig w:usb0="E0002AFF" w:usb1="C0007843" w:usb2="00000009" w:usb3="00000000" w:csb0="000001F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60"/>
  <w:doNotDisplayPageBoundaries/>
  <w:bordersDoNotSurroundHeader/>
  <w:bordersDoNotSurroundFooter/>
  <w:defaultTabStop w:val="420"/>
  <w:drawingGridHorizontalSpacing w:val="105"/>
  <w:drawingGridVerticalSpacing w:val="156"/>
  <w:displayHorizontalDrawingGridEvery w:val="0"/>
  <w:displayVerticalDrawingGridEvery w:val="2"/>
  <w:noPunctuationKerning/>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er"/>
    <w:basedOn w:val="0"/>
    <w:pPr>
      <w:tabs>
        <w:tab w:val="center" w:pos="4153"/>
        <w:tab w:val="right" w:pos="8307"/>
      </w:tabs>
      <w:snapToGrid w:val="0"/>
      <w:jc w:val="left"/>
    </w:pPr>
    <w:rPr>
      <w:sz w:val="18"/>
    </w:rPr>
  </w:style>
  <w:style w:type="character" w:styleId="16">
    <w:name w:val="page number"/>
    <w:basedOn w:val="10"/>
  </w:style>
  <w:style w:type="paragraph" w:customStyle="1" w:styleId="17">
    <w:name w:val="样式 4 10 磅"/>
    <w:basedOn w:val="0"/>
    <w:rPr>
      <w:rFonts w:ascii="Times New Roman" w:cs="Times New Roman" w:hAnsi="Times New Roman"/>
      <w:szCs w:val="21"/>
    </w:rPr>
  </w:style>
  <w:style w:type="paragraph" w:customStyle="1" w:styleId="18">
    <w:name w:val="样式 51 10 磅"/>
    <w:basedOn w:val="0"/>
    <w:rPr>
      <w:rFonts w:ascii="Times New Roman" w:cs="Times New Roman" w:hAnsi="Times New Roman"/>
      <w:szCs w:val="21"/>
    </w:rPr>
  </w:style>
  <w:style w:type="paragraph" w:customStyle="1" w:styleId="19">
    <w:name w:val="样式 36 10 磅"/>
    <w:basedOn w:val="0"/>
    <w:rPr>
      <w:rFonts w:ascii="Times New Roman" w:cs="Times New Roman" w:hAnsi="Times New Roman"/>
      <w:szCs w:val="21"/>
    </w:rPr>
  </w:style>
  <w:style w:type="paragraph" w:customStyle="1" w:styleId="20">
    <w:name w:val="样式 49 10 磅"/>
    <w:basedOn w:val="0"/>
    <w:rPr>
      <w:rFonts w:ascii="Times New Roman" w:cs="Times New Roman" w:hAnsi="Times New Roman"/>
      <w:szCs w:val="21"/>
    </w:rPr>
  </w:style>
  <w:style w:type="character" w:customStyle="1" w:styleId="21">
    <w:name w:val="font41"/>
    <w:basedOn w:val="10"/>
    <w:rPr>
      <w:rFonts w:ascii="宋体" w:eastAsia="宋体" w:cs="宋体"/>
      <w:color w:val="000000"/>
      <w:sz w:val="22"/>
      <w:szCs w:val="22"/>
      <w:u w:val="none"/>
    </w:rPr>
  </w:style>
  <w:style w:type="character" w:customStyle="1" w:styleId="22">
    <w:name w:val="font61"/>
    <w:basedOn w:val="10"/>
    <w:rPr>
      <w:rFonts w:ascii="宋体" w:eastAsia="宋体" w:cs="宋体"/>
      <w:color w:val="000000"/>
      <w:sz w:val="22"/>
      <w:szCs w:val="22"/>
      <w:u w:val="none"/>
    </w:rPr>
  </w:style>
  <w:style w:type="character" w:customStyle="1" w:styleId="23">
    <w:name w:val="font71"/>
    <w:basedOn w:val="10"/>
    <w:rPr>
      <w:rFonts w:ascii="Times New Roman" w:cs="Times New Roman" w:hAnsi="Times New Roman"/>
      <w:color w:val="000000"/>
      <w:sz w:val="22"/>
      <w:szCs w:val="22"/>
      <w:u w:val="none"/>
    </w:rPr>
  </w:style>
  <w:style w:type="character" w:customStyle="1" w:styleId="24">
    <w:name w:val="font51"/>
    <w:basedOn w:val="10"/>
    <w:rPr>
      <w:rFonts w:ascii="宋体" w:eastAsia="宋体" w:cs="宋体"/>
      <w:color w:val="000000"/>
      <w:sz w:val="22"/>
      <w:szCs w:val="22"/>
      <w:u w:val="none"/>
    </w:rPr>
  </w:style>
  <w:style w:type="character" w:customStyle="1" w:styleId="25">
    <w:name w:val="font01"/>
    <w:basedOn w:val="10"/>
    <w:rPr>
      <w:rFonts w:ascii="宋体" w:eastAsia="宋体" w:cs="宋体"/>
      <w:color w:val="000000"/>
      <w:sz w:val="22"/>
      <w:szCs w:val="22"/>
      <w:u w:val="none"/>
    </w:rPr>
  </w:style>
  <w:style w:type="paragraph" w:customStyle="1" w:styleId="26">
    <w:name w:val="样式 2 10 磅"/>
    <w:basedOn w:val="0"/>
    <w:rPr>
      <w:rFonts w:ascii="Times New Roman" w:cs="Times New Roman" w:hAnsi="Times New Roman"/>
      <w:szCs w:val="21"/>
    </w:rPr>
  </w:style>
  <w:style w:type="paragraph" w:customStyle="1" w:styleId="27">
    <w:name w:val="样式 1 10 磅"/>
    <w:basedOn w:val="0"/>
    <w:rPr>
      <w:rFonts w:ascii="Times New Roman" w:cs="Times New Roman" w:hAnsi="Times New Roman"/>
      <w:szCs w:val="21"/>
    </w:rPr>
  </w:style>
  <w:style w:type="paragraph" w:customStyle="1" w:styleId="28">
    <w:name w:val="样式 10 磅"/>
    <w:pPr>
      <w:widowControl w:val="0"/>
      <w:jc w:val="both"/>
    </w:pPr>
    <w:rPr>
      <w:rFonts w:ascii="Calibri" w:eastAsia="宋体" w:cs="Arial" w:hAnsi="Calibri"/>
      <w:kern w:val="2"/>
      <w:sz w:val="21"/>
      <w:szCs w:val="22"/>
      <w:lang w:val="en-US" w:eastAsia="zh-CN" w:bidi="ar-SA"/>
    </w:rPr>
  </w:style>
  <w:style w:type="paragraph" w:customStyle="1" w:styleId="29">
    <w:name w:val="样式 3 10 磅"/>
    <w:pPr>
      <w:widowControl w:val="0"/>
      <w:jc w:val="both"/>
    </w:pPr>
    <w:rPr>
      <w:rFonts w:ascii="Calibri" w:eastAsia="宋体" w:cs="Arial" w:hAnsi="Calibri"/>
      <w:kern w:val="2"/>
      <w:sz w:val="21"/>
      <w:szCs w:val="22"/>
      <w:lang w:val="en-US" w:eastAsia="zh-CN" w:bidi="ar-SA"/>
    </w:rPr>
  </w:style>
  <w:style w:type="paragraph" w:customStyle="1" w:styleId="30">
    <w:name w:val="样式 5 10 磅"/>
    <w:pPr>
      <w:widowControl w:val="0"/>
      <w:jc w:val="both"/>
    </w:pPr>
    <w:rPr>
      <w:rFonts w:ascii="Calibri" w:eastAsia="宋体" w:cs="Arial" w:hAnsi="Calibri"/>
      <w:kern w:val="2"/>
      <w:sz w:val="21"/>
      <w:szCs w:val="22"/>
      <w:lang w:val="en-US" w:eastAsia="zh-CN" w:bidi="ar-SA"/>
    </w:rPr>
  </w:style>
  <w:style w:type="paragraph" w:customStyle="1" w:styleId="31">
    <w:name w:val="样式 6 10 磅"/>
    <w:pPr>
      <w:widowControl w:val="0"/>
      <w:jc w:val="both"/>
    </w:pPr>
    <w:rPr>
      <w:rFonts w:ascii="Calibri" w:eastAsia="宋体" w:cs="Arial" w:hAnsi="Calibri"/>
      <w:kern w:val="2"/>
      <w:sz w:val="21"/>
      <w:szCs w:val="22"/>
      <w:lang w:val="en-US" w:eastAsia="zh-CN" w:bidi="ar-SA"/>
    </w:rPr>
  </w:style>
  <w:style w:type="paragraph" w:customStyle="1" w:styleId="32">
    <w:name w:val="样式 7 10 磅"/>
    <w:pPr>
      <w:widowControl w:val="0"/>
      <w:jc w:val="both"/>
    </w:pPr>
    <w:rPr>
      <w:rFonts w:ascii="Calibri" w:eastAsia="宋体" w:cs="Arial" w:hAnsi="Calibri"/>
      <w:kern w:val="2"/>
      <w:sz w:val="21"/>
      <w:szCs w:val="22"/>
      <w:lang w:val="en-US" w:eastAsia="zh-CN" w:bidi="ar-SA"/>
    </w:rPr>
  </w:style>
  <w:style w:type="paragraph" w:customStyle="1" w:styleId="33">
    <w:name w:val="样式 8 10 磅"/>
    <w:pPr>
      <w:widowControl w:val="0"/>
      <w:jc w:val="both"/>
    </w:pPr>
    <w:rPr>
      <w:rFonts w:ascii="Calibri" w:eastAsia="宋体" w:cs="Arial" w:hAnsi="Calibri"/>
      <w:kern w:val="2"/>
      <w:sz w:val="21"/>
      <w:szCs w:val="22"/>
      <w:lang w:val="en-US" w:eastAsia="zh-CN" w:bidi="ar-SA"/>
    </w:rPr>
  </w:style>
  <w:style w:type="paragraph" w:customStyle="1" w:styleId="34">
    <w:name w:val="样式 9 10 磅"/>
    <w:pPr>
      <w:widowControl w:val="0"/>
      <w:jc w:val="both"/>
    </w:pPr>
    <w:rPr>
      <w:rFonts w:ascii="Calibri" w:eastAsia="宋体" w:cs="Arial" w:hAnsi="Calibri"/>
      <w:kern w:val="2"/>
      <w:sz w:val="21"/>
      <w:szCs w:val="22"/>
      <w:lang w:val="en-US" w:eastAsia="zh-CN" w:bidi="ar-SA"/>
    </w:rPr>
  </w:style>
  <w:style w:type="paragraph" w:customStyle="1" w:styleId="35">
    <w:name w:val="样式 10 10 磅"/>
    <w:pPr>
      <w:widowControl w:val="0"/>
      <w:jc w:val="both"/>
    </w:pPr>
    <w:rPr>
      <w:rFonts w:ascii="Calibri" w:eastAsia="宋体" w:cs="Arial" w:hAnsi="Calibri"/>
      <w:kern w:val="2"/>
      <w:sz w:val="21"/>
      <w:szCs w:val="22"/>
      <w:lang w:val="en-US" w:eastAsia="zh-CN" w:bidi="ar-SA"/>
    </w:rPr>
  </w:style>
  <w:style w:type="paragraph" w:customStyle="1" w:styleId="36">
    <w:name w:val="样式 11 10 磅"/>
    <w:pPr>
      <w:widowControl w:val="0"/>
      <w:jc w:val="both"/>
    </w:pPr>
    <w:rPr>
      <w:rFonts w:ascii="Calibri" w:eastAsia="宋体" w:cs="Arial" w:hAnsi="Calibri"/>
      <w:kern w:val="2"/>
      <w:sz w:val="21"/>
      <w:szCs w:val="22"/>
      <w:lang w:val="en-US" w:eastAsia="zh-CN" w:bidi="ar-SA"/>
    </w:rPr>
  </w:style>
  <w:style w:type="paragraph" w:customStyle="1" w:styleId="37">
    <w:name w:val="样式 12 10 磅"/>
    <w:pPr>
      <w:widowControl w:val="0"/>
      <w:jc w:val="both"/>
    </w:pPr>
    <w:rPr>
      <w:rFonts w:ascii="Times New Roman" w:eastAsia="宋体" w:cs="Times New Roman" w:hAnsi="Times New Roman"/>
      <w:kern w:val="2"/>
      <w:sz w:val="21"/>
      <w:szCs w:val="21"/>
      <w:lang w:val="en-US" w:eastAsia="zh-CN" w:bidi="ar-SA"/>
    </w:rPr>
  </w:style>
  <w:style w:type="paragraph" w:customStyle="1" w:styleId="38">
    <w:name w:val="样式 13 10 磅"/>
    <w:pPr>
      <w:widowControl w:val="0"/>
      <w:jc w:val="both"/>
    </w:pPr>
    <w:rPr>
      <w:rFonts w:ascii="Calibri" w:eastAsia="宋体" w:cs="Arial" w:hAnsi="Calibri"/>
      <w:kern w:val="2"/>
      <w:sz w:val="21"/>
      <w:szCs w:val="22"/>
      <w:lang w:val="en-US" w:eastAsia="zh-CN" w:bidi="ar-SA"/>
    </w:rPr>
  </w:style>
  <w:style w:type="paragraph" w:customStyle="1" w:styleId="39">
    <w:name w:val="样式 14 10 磅"/>
    <w:pPr>
      <w:widowControl w:val="0"/>
      <w:jc w:val="both"/>
    </w:pPr>
    <w:rPr>
      <w:rFonts w:ascii="Calibri" w:eastAsia="宋体" w:cs="Arial" w:hAnsi="Calibri"/>
      <w:kern w:val="2"/>
      <w:sz w:val="21"/>
      <w:szCs w:val="22"/>
      <w:lang w:val="en-US" w:eastAsia="zh-CN" w:bidi="ar-SA"/>
    </w:rPr>
  </w:style>
  <w:style w:type="paragraph" w:styleId="40">
    <w:name w:val="header"/>
    <w:basedOn w:val="0"/>
    <w:pPr>
      <w:pBdr>
        <w:bottom w:val="single" w:sz="6" w:space="1" w:color="auto"/>
      </w:pBdr>
      <w:tabs>
        <w:tab w:val="center" w:pos="4153"/>
        <w:tab w:val="right" w:pos="8306"/>
      </w:tabs>
      <w:snapToGrid w:val="0"/>
      <w:jc w:val="center"/>
    </w:pPr>
    <w:rPr>
      <w:sz w:val="18"/>
      <w:szCs w:val="18"/>
    </w:rPr>
  </w:style>
  <w:style w:type="paragraph" w:customStyle="1" w:styleId="41">
    <w:name w:val="样式 15 10 磅"/>
    <w:pPr>
      <w:widowControl w:val="0"/>
      <w:jc w:val="both"/>
    </w:pPr>
    <w:rPr>
      <w:rFonts w:ascii="Times New Roman" w:eastAsia="宋体" w:cs="Times New Roman" w:hAnsi="Times New Roman"/>
      <w:kern w:val="2"/>
      <w:sz w:val="21"/>
      <w:szCs w:val="21"/>
      <w:lang w:val="en-US" w:eastAsia="zh-CN" w:bidi="ar-SA"/>
    </w:rPr>
  </w:style>
  <w:style w:type="paragraph" w:customStyle="1" w:styleId="42">
    <w:name w:val="样式 16 10 磅"/>
    <w:pPr>
      <w:widowControl w:val="0"/>
      <w:jc w:val="both"/>
    </w:pPr>
    <w:rPr>
      <w:rFonts w:ascii="Calibri" w:eastAsia="宋体" w:cs="Arial" w:hAnsi="Calibri"/>
      <w:kern w:val="2"/>
      <w:sz w:val="21"/>
      <w:szCs w:val="22"/>
      <w:lang w:val="en-US" w:eastAsia="zh-CN" w:bidi="ar-SA"/>
    </w:rPr>
  </w:style>
  <w:style w:type="paragraph" w:customStyle="1" w:styleId="43">
    <w:name w:val="样式 17 10 磅"/>
    <w:pPr>
      <w:widowControl w:val="0"/>
      <w:jc w:val="both"/>
    </w:pPr>
    <w:rPr>
      <w:rFonts w:ascii="Calibri" w:eastAsia="宋体" w:cs="Arial" w:hAnsi="Calibri"/>
      <w:kern w:val="2"/>
      <w:sz w:val="21"/>
      <w:szCs w:val="22"/>
      <w:lang w:val="en-US" w:eastAsia="zh-CN" w:bidi="ar-SA"/>
    </w:rPr>
  </w:style>
  <w:style w:type="paragraph" w:customStyle="1" w:styleId="44">
    <w:name w:val="样式 18 10 磅"/>
    <w:pPr>
      <w:widowControl w:val="0"/>
      <w:jc w:val="both"/>
    </w:pPr>
    <w:rPr>
      <w:rFonts w:ascii="Calibri" w:eastAsia="宋体" w:cs="Arial" w:hAnsi="Calibri"/>
      <w:kern w:val="2"/>
      <w:sz w:val="21"/>
      <w:szCs w:val="22"/>
      <w:lang w:val="en-US" w:eastAsia="zh-CN" w:bidi="ar-SA"/>
    </w:rPr>
  </w:style>
  <w:style w:type="paragraph" w:customStyle="1" w:styleId="45">
    <w:name w:val="样式 19 10 磅"/>
    <w:pPr>
      <w:widowControl w:val="0"/>
      <w:jc w:val="both"/>
    </w:pPr>
    <w:rPr>
      <w:rFonts w:ascii="Calibri" w:eastAsia="宋体" w:cs="Arial" w:hAnsi="Calibri"/>
      <w:kern w:val="2"/>
      <w:sz w:val="21"/>
      <w:szCs w:val="22"/>
      <w:lang w:val="en-US" w:eastAsia="zh-CN" w:bidi="ar-SA"/>
    </w:rPr>
  </w:style>
  <w:style w:type="paragraph" w:customStyle="1" w:styleId="46">
    <w:name w:val="样式 20 10 磅"/>
    <w:pPr>
      <w:widowControl w:val="0"/>
      <w:jc w:val="both"/>
    </w:pPr>
    <w:rPr>
      <w:rFonts w:ascii="Calibri" w:eastAsia="宋体" w:cs="Arial" w:hAnsi="Calibri"/>
      <w:kern w:val="2"/>
      <w:sz w:val="21"/>
      <w:szCs w:val="22"/>
      <w:lang w:val="en-US" w:eastAsia="zh-CN" w:bidi="ar-SA"/>
    </w:rPr>
  </w:style>
  <w:style w:type="paragraph" w:customStyle="1" w:styleId="47">
    <w:name w:val="样式 21 10 磅"/>
    <w:pPr>
      <w:widowControl w:val="0"/>
      <w:jc w:val="both"/>
    </w:pPr>
    <w:rPr>
      <w:rFonts w:ascii="Calibri" w:eastAsia="宋体" w:cs="Arial" w:hAnsi="Calibri"/>
      <w:kern w:val="2"/>
      <w:sz w:val="21"/>
      <w:szCs w:val="22"/>
      <w:lang w:val="en-US" w:eastAsia="zh-CN" w:bidi="ar-SA"/>
    </w:rPr>
  </w:style>
  <w:style w:type="paragraph" w:customStyle="1" w:styleId="48">
    <w:name w:val="样式 22 10 磅"/>
    <w:pPr>
      <w:widowControl w:val="0"/>
      <w:jc w:val="both"/>
    </w:pPr>
    <w:rPr>
      <w:rFonts w:ascii="Calibri" w:eastAsia="宋体" w:cs="Arial" w:hAnsi="Calibri"/>
      <w:kern w:val="2"/>
      <w:sz w:val="21"/>
      <w:szCs w:val="22"/>
      <w:lang w:val="en-US" w:eastAsia="zh-CN" w:bidi="ar-SA"/>
    </w:rPr>
  </w:style>
  <w:style w:type="paragraph" w:customStyle="1" w:styleId="49">
    <w:name w:val="样式 23 10 磅"/>
    <w:pPr>
      <w:widowControl w:val="0"/>
      <w:jc w:val="both"/>
    </w:pPr>
    <w:rPr>
      <w:rFonts w:ascii="Calibri" w:eastAsia="宋体" w:cs="Arial" w:hAnsi="Calibri"/>
      <w:kern w:val="2"/>
      <w:sz w:val="21"/>
      <w:szCs w:val="22"/>
      <w:lang w:val="en-US" w:eastAsia="zh-CN" w:bidi="ar-SA"/>
    </w:rPr>
  </w:style>
  <w:style w:type="paragraph" w:customStyle="1" w:styleId="50">
    <w:name w:val="样式 24 10 磅"/>
    <w:pPr>
      <w:widowControl w:val="0"/>
      <w:jc w:val="both"/>
    </w:pPr>
    <w:rPr>
      <w:rFonts w:ascii="Calibri" w:eastAsia="宋体" w:cs="Arial" w:hAnsi="Calibri"/>
      <w:kern w:val="2"/>
      <w:sz w:val="21"/>
      <w:szCs w:val="22"/>
      <w:lang w:val="en-US" w:eastAsia="zh-CN" w:bidi="ar-SA"/>
    </w:rPr>
  </w:style>
  <w:style w:type="paragraph" w:customStyle="1" w:styleId="51">
    <w:name w:val="样式 25 10 磅"/>
    <w:pPr>
      <w:widowControl w:val="0"/>
      <w:jc w:val="both"/>
    </w:pPr>
    <w:rPr>
      <w:rFonts w:ascii="Calibri" w:eastAsia="宋体" w:cs="Arial" w:hAnsi="Calibri"/>
      <w:kern w:val="2"/>
      <w:sz w:val="21"/>
      <w:szCs w:val="22"/>
      <w:lang w:val="en-US" w:eastAsia="zh-CN" w:bidi="ar-SA"/>
    </w:rPr>
  </w:style>
  <w:style w:type="paragraph" w:customStyle="1" w:styleId="167">
    <w:name w:val="样式 142 10 磅"/>
    <w:pPr>
      <w:widowControl w:val="0"/>
      <w:jc w:val="both"/>
    </w:pPr>
    <w:rPr>
      <w:rFonts w:ascii="Times New Roman" w:eastAsia="宋体" w:cs="Times New Roman" w:hAnsi="Times New Roman"/>
      <w:kern w:val="2"/>
      <w:sz w:val="21"/>
      <w:szCs w:val="24"/>
      <w:lang w:val="en-US" w:eastAsia="zh-CN" w:bidi="ar-SA"/>
    </w:rPr>
  </w:style>
  <w:style w:type="paragraph" w:customStyle="1" w:styleId="168">
    <w:name w:val="样式 139 10 磅"/>
    <w:pPr>
      <w:widowControl w:val="0"/>
      <w:jc w:val="both"/>
    </w:pPr>
    <w:rPr>
      <w:rFonts w:ascii="Times New Roman" w:eastAsia="宋体" w:cs="Times New Roman" w:hAnsi="Times New Roman"/>
      <w:kern w:val="2"/>
      <w:sz w:val="21"/>
      <w:szCs w:val="24"/>
      <w:lang w:val="en-US" w:eastAsia="zh-CN" w:bidi="ar-SA"/>
    </w:rPr>
  </w:style>
  <w:style w:type="paragraph" w:customStyle="1" w:styleId="169">
    <w:name w:val="样式 140 10 磅"/>
    <w:pPr>
      <w:widowControl w:val="0"/>
      <w:jc w:val="both"/>
    </w:pPr>
    <w:rPr>
      <w:rFonts w:ascii="Times New Roman" w:eastAsia="宋体" w:cs="Times New Roman" w:hAnsi="Times New Roman"/>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jpeg"/><Relationship Id="rId3" Type="http://schemas.openxmlformats.org/officeDocument/2006/relationships/image" Target="media/5.emf"/><Relationship Id="rId4" Type="http://schemas.openxmlformats.org/officeDocument/2006/relationships/image" Target="media/8.emf"/><Relationship Id="rId5" Type="http://schemas.openxmlformats.org/officeDocument/2006/relationships/image" Target="media/11.emf"/><Relationship Id="rId6" Type="http://schemas.openxmlformats.org/officeDocument/2006/relationships/image" Target="media/14.emf"/><Relationship Id="rId7" Type="http://schemas.openxmlformats.org/officeDocument/2006/relationships/image" Target="media/17.emf"/><Relationship Id="rId8" Type="http://schemas.openxmlformats.org/officeDocument/2006/relationships/image" Target="media/20.png"/><Relationship Id="rId9" Type="http://schemas.openxmlformats.org/officeDocument/2006/relationships/image" Target="media/23.png"/><Relationship Id="rId10" Type="http://schemas.openxmlformats.org/officeDocument/2006/relationships/image" Target="media/23.png"/><Relationship Id="rId11" Type="http://schemas.openxmlformats.org/officeDocument/2006/relationships/image" Target="media/28.emf"/><Relationship Id="rId12" Type="http://schemas.openxmlformats.org/officeDocument/2006/relationships/image" Target="media/31.emf"/><Relationship Id="rId13" Type="http://schemas.openxmlformats.org/officeDocument/2006/relationships/image" Target="media/34.emf"/><Relationship Id="rId14" Type="http://schemas.openxmlformats.org/officeDocument/2006/relationships/image" Target="media/37.emf"/><Relationship Id="rId15" Type="http://schemas.openxmlformats.org/officeDocument/2006/relationships/image" Target="media/40.emf"/><Relationship Id="rId16" Type="http://schemas.openxmlformats.org/officeDocument/2006/relationships/image" Target="media/43.emf"/><Relationship Id="rId17" Type="http://schemas.openxmlformats.org/officeDocument/2006/relationships/image" Target="media/46.emf"/><Relationship Id="rId18" Type="http://schemas.openxmlformats.org/officeDocument/2006/relationships/styles" Target="styles.xml"/><Relationship Id="rId19" Type="http://schemas.openxmlformats.org/officeDocument/2006/relationships/fontTable" Target="fontTable.xml"/><Relationship Id="rId20"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sectPr/>
    <sectPr/>
    <sectPr/>
    <sectPr/>
    <sectPr/>
    <sectPr/>
    <sectPr/>
  </customProps>
</customData>
</file>

<file path=customXml/itemProps1.xml><?xml version="1.0" encoding="utf-8"?>
<ds:datastoreItem xmlns:ds="http://schemas.openxmlformats.org/officeDocument/2006/customXml" ds:itemID="{FB0C7319-3839-4283-AEFC-F00EA7A27E23}">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85</TotalTime>
  <Application>Yozo_Office27021597764231179</Application>
  <Pages>38</Pages>
  <Words>0</Words>
  <Characters>6042</Characters>
  <Lines>0</Lines>
  <Paragraphs>315</Paragraphs>
  <CharactersWithSpaces>8057</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lenovo</dc:creator>
  <cp:lastModifiedBy>hguser</cp:lastModifiedBy>
  <cp:revision>2</cp:revision>
  <dcterms:created xsi:type="dcterms:W3CDTF">2026-04-24T02:58:00Z</dcterms:created>
  <dcterms:modified xsi:type="dcterms:W3CDTF">2026-04-28T07:13:33Z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2052-11.1.0.13703</vt:lpwstr>
  </property>
  <property fmtid="{D5CDD505-2E9C-101B-9397-08002B2CF9AE}" pid="3" name="ICV">
    <vt:lpwstr>1DA2B4D231ED41AA906827DC59F82660</vt:lpwstr>
  </property>
</Properties>
</file>