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jc w:val="center"/>
        <w:rPr>
          <w:rFonts w:ascii="方正小标宋_GBK" w:eastAsia="方正小标宋_GBK" w:cs="方正小标宋_GBK" w:hint="eastAsia"/>
          <w:sz w:val="44"/>
          <w:szCs w:val="44"/>
        </w:rPr>
      </w:pPr>
      <w:bookmarkStart w:id="0" w:name="_Hlk25540369"/>
      <w:bookmarkStart w:id="1" w:name="cogw__正文__file"/>
      <w:r>
        <w:rPr>
          <w:rFonts w:ascii="方正小标宋_GBK" w:eastAsia="方正小标宋_GBK" w:cs="方正小标宋_GBK" w:hint="eastAsia"/>
          <w:sz w:val="44"/>
          <w:szCs w:val="44"/>
        </w:rPr>
        <w:t>苏州工业园区海关2025年政府信息公开</w:t>
      </w:r>
    </w:p>
    <w:p>
      <w:pPr>
        <w:pStyle w:val="39"/>
        <w:jc w:val="center"/>
        <w:rPr>
          <w:rFonts w:ascii="方正小标宋_GBK" w:eastAsia="方正小标宋_GBK" w:cs="方正小标宋_GBK" w:hint="eastAsia"/>
          <w:sz w:val="44"/>
          <w:szCs w:val="44"/>
        </w:rPr>
      </w:pPr>
      <w:r>
        <w:rPr>
          <w:rFonts w:ascii="方正小标宋_GBK" w:eastAsia="方正小标宋_GBK" w:cs="方正小标宋_GBK" w:hint="eastAsia"/>
          <w:sz w:val="44"/>
          <w:szCs w:val="44"/>
        </w:rPr>
        <w:t>工作年度报告</w:t>
      </w:r>
      <w:bookmarkEnd w:id="0"/>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p>
    <w:p>
      <w:pPr>
        <w:pStyle w:val="25"/>
        <w:widowControl/>
        <w:shd w:val="clear" w:color="auto" w:fill="FFFFFF"/>
        <w:adjustRightInd w:val="0"/>
        <w:snapToGrid w:val="0"/>
        <w:spacing w:beforeAutospacing="0" w:afterAutospacing="0" w:line="560" w:lineRule="exact"/>
        <w:ind w:firstLineChars="200" w:firstLine="640"/>
        <w:jc w:val="both"/>
        <w:rPr>
          <w:color w:val="000000"/>
          <w:sz w:val="21"/>
          <w:szCs w:val="21"/>
        </w:rPr>
      </w:pPr>
      <w:r>
        <w:rPr>
          <w:rFonts w:eastAsia="方正仿宋_GBK" w:hint="eastAsia"/>
          <w:color w:val="000000"/>
          <w:sz w:val="32"/>
          <w:szCs w:val="32"/>
        </w:rPr>
        <w:t>本报告根据《中华人民共和国政府信息公开条例》（国务院令第</w:t>
      </w:r>
      <w:r>
        <w:rPr>
          <w:rFonts w:eastAsia="方正仿宋_GBK"/>
          <w:color w:val="000000"/>
          <w:sz w:val="32"/>
          <w:szCs w:val="32"/>
        </w:rPr>
        <w:t>711</w:t>
      </w:r>
      <w:r>
        <w:rPr>
          <w:rFonts w:eastAsia="方正仿宋_GBK" w:hint="eastAsia"/>
          <w:color w:val="000000"/>
          <w:sz w:val="32"/>
          <w:szCs w:val="32"/>
        </w:rPr>
        <w:t>号）和《国务院办公厅政府信息与政务公开办公室关于印发〈中华人民共和国政府信息公开工作年度报告格式〉的通知》（国办公开办函〔</w:t>
      </w:r>
      <w:r>
        <w:rPr>
          <w:rFonts w:eastAsia="方正仿宋_GBK"/>
          <w:color w:val="000000"/>
          <w:sz w:val="32"/>
          <w:szCs w:val="32"/>
        </w:rPr>
        <w:t>2021</w:t>
      </w:r>
      <w:r>
        <w:rPr>
          <w:rFonts w:eastAsia="方正仿宋_GBK" w:hint="eastAsia"/>
          <w:color w:val="000000"/>
          <w:sz w:val="32"/>
          <w:szCs w:val="32"/>
        </w:rPr>
        <w:t>〕</w:t>
      </w:r>
      <w:r>
        <w:rPr>
          <w:rFonts w:eastAsia="方正仿宋_GBK"/>
          <w:color w:val="000000"/>
          <w:sz w:val="32"/>
          <w:szCs w:val="32"/>
        </w:rPr>
        <w:t>30</w:t>
      </w:r>
      <w:r>
        <w:rPr>
          <w:rFonts w:eastAsia="方正仿宋_GBK" w:hint="eastAsia"/>
          <w:color w:val="000000"/>
          <w:sz w:val="32"/>
          <w:szCs w:val="32"/>
        </w:rPr>
        <w:t>号）要求，梳理</w:t>
      </w:r>
      <w:r>
        <w:rPr>
          <w:rFonts w:eastAsia="方正仿宋_GBK"/>
          <w:color w:val="000000"/>
          <w:sz w:val="32"/>
          <w:szCs w:val="32"/>
        </w:rPr>
        <w:t>202</w:t>
      </w:r>
      <w:r>
        <w:rPr>
          <w:rFonts w:eastAsia="方正仿宋_GBK" w:hint="eastAsia"/>
          <w:color w:val="000000"/>
          <w:sz w:val="32"/>
          <w:szCs w:val="32"/>
        </w:rPr>
        <w:t>5年度苏州工</w:t>
      </w:r>
      <w:r>
        <w:rPr>
          <w:rFonts w:eastAsia="方正仿宋_GBK"/>
          <w:color w:val="000000"/>
          <w:sz w:val="32"/>
          <w:szCs w:val="32"/>
        </w:rPr>
        <w:t>业园区</w:t>
      </w:r>
      <w:r>
        <w:rPr>
          <w:rFonts w:eastAsia="方正仿宋_GBK" w:hint="eastAsia"/>
          <w:color w:val="000000"/>
          <w:sz w:val="32"/>
          <w:szCs w:val="32"/>
        </w:rPr>
        <w:t>海关政府信息公开工作情况编制而成。年报中所列数据的统计期限，自</w:t>
      </w:r>
      <w:r>
        <w:rPr>
          <w:rFonts w:eastAsia="方正仿宋_GBK"/>
          <w:color w:val="000000"/>
          <w:sz w:val="32"/>
          <w:szCs w:val="32"/>
        </w:rPr>
        <w:t>202</w:t>
      </w:r>
      <w:r>
        <w:rPr>
          <w:rFonts w:eastAsia="方正仿宋_GBK" w:hint="eastAsia"/>
          <w:color w:val="000000"/>
          <w:sz w:val="32"/>
          <w:szCs w:val="32"/>
        </w:rPr>
        <w:t>5年</w:t>
      </w:r>
      <w:r>
        <w:rPr>
          <w:rFonts w:eastAsia="方正仿宋_GBK"/>
          <w:color w:val="000000"/>
          <w:sz w:val="32"/>
          <w:szCs w:val="32"/>
        </w:rPr>
        <w:t>1</w:t>
      </w:r>
      <w:r>
        <w:rPr>
          <w:rFonts w:eastAsia="方正仿宋_GBK" w:hint="eastAsia"/>
          <w:color w:val="000000"/>
          <w:sz w:val="32"/>
          <w:szCs w:val="32"/>
        </w:rPr>
        <w:t>月</w:t>
      </w:r>
      <w:r>
        <w:rPr>
          <w:rFonts w:eastAsia="方正仿宋_GBK"/>
          <w:color w:val="000000"/>
          <w:sz w:val="32"/>
          <w:szCs w:val="32"/>
        </w:rPr>
        <w:t>1</w:t>
      </w:r>
      <w:r>
        <w:rPr>
          <w:rFonts w:eastAsia="方正仿宋_GBK" w:hint="eastAsia"/>
          <w:color w:val="000000"/>
          <w:sz w:val="32"/>
          <w:szCs w:val="32"/>
        </w:rPr>
        <w:t>日起至</w:t>
      </w:r>
      <w:r>
        <w:rPr>
          <w:rFonts w:eastAsia="方正仿宋_GBK"/>
          <w:color w:val="000000"/>
          <w:sz w:val="32"/>
          <w:szCs w:val="32"/>
        </w:rPr>
        <w:t>202</w:t>
      </w:r>
      <w:r>
        <w:rPr>
          <w:rFonts w:eastAsia="方正仿宋_GBK" w:hint="eastAsia"/>
          <w:color w:val="000000"/>
          <w:sz w:val="32"/>
          <w:szCs w:val="32"/>
        </w:rPr>
        <w:t>5年</w:t>
      </w:r>
      <w:r>
        <w:rPr>
          <w:rFonts w:eastAsia="方正仿宋_GBK"/>
          <w:color w:val="000000"/>
          <w:sz w:val="32"/>
          <w:szCs w:val="32"/>
        </w:rPr>
        <w:t>12</w:t>
      </w:r>
      <w:r>
        <w:rPr>
          <w:rFonts w:eastAsia="方正仿宋_GBK" w:hint="eastAsia"/>
          <w:color w:val="000000"/>
          <w:sz w:val="32"/>
          <w:szCs w:val="32"/>
        </w:rPr>
        <w:t>月</w:t>
      </w:r>
      <w:r>
        <w:rPr>
          <w:rFonts w:eastAsia="方正仿宋_GBK"/>
          <w:color w:val="000000"/>
          <w:sz w:val="32"/>
          <w:szCs w:val="32"/>
        </w:rPr>
        <w:t>31</w:t>
      </w:r>
      <w:r>
        <w:rPr>
          <w:rFonts w:eastAsia="方正仿宋_GBK" w:hint="eastAsia"/>
          <w:color w:val="000000"/>
          <w:sz w:val="32"/>
          <w:szCs w:val="32"/>
        </w:rPr>
        <w:t>日止。如对报告有意见、建议，请联系苏州</w:t>
      </w:r>
      <w:r>
        <w:rPr>
          <w:rFonts w:eastAsia="方正仿宋_GBK"/>
          <w:color w:val="000000"/>
          <w:sz w:val="32"/>
          <w:szCs w:val="32"/>
        </w:rPr>
        <w:t>工业园区</w:t>
      </w:r>
      <w:r>
        <w:rPr>
          <w:rFonts w:eastAsia="方正仿宋_GBK" w:hint="eastAsia"/>
          <w:color w:val="000000"/>
          <w:sz w:val="32"/>
          <w:szCs w:val="32"/>
        </w:rPr>
        <w:t>海关办公室（</w:t>
      </w:r>
      <w:r>
        <w:rPr>
          <w:rFonts w:eastAsia="方正仿宋_GBK"/>
          <w:color w:val="000000"/>
          <w:sz w:val="32"/>
          <w:szCs w:val="32"/>
        </w:rPr>
        <w:t>0512-69991029</w:t>
      </w:r>
      <w:r>
        <w:rPr>
          <w:rFonts w:eastAsia="方正仿宋_GBK" w:hint="eastAsia"/>
          <w:color w:val="000000"/>
          <w:sz w:val="32"/>
          <w:szCs w:val="32"/>
        </w:rPr>
        <w:t>；电子邮箱</w:t>
      </w:r>
      <w:r>
        <w:rPr>
          <w:rFonts w:eastAsia="方正仿宋_GBK"/>
          <w:color w:val="000000"/>
          <w:sz w:val="32"/>
        </w:rPr>
        <w:t>njszyqhg_zwgk@customs.gov.cn</w:t>
      </w:r>
      <w:r>
        <w:rPr>
          <w:rFonts w:eastAsia="方正仿宋_GBK" w:hint="eastAsia"/>
          <w:color w:val="000000"/>
          <w:sz w:val="32"/>
          <w:szCs w:val="32"/>
        </w:rPr>
        <w:t>）。</w:t>
      </w: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一、总体情况</w:t>
      </w:r>
    </w:p>
    <w:p>
      <w:pPr>
        <w:pStyle w:val="25"/>
        <w:widowControl/>
        <w:shd w:val="clear" w:color="auto" w:fill="FFFFFF"/>
        <w:adjustRightInd w:val="0"/>
        <w:snapToGrid w:val="0"/>
        <w:spacing w:beforeAutospacing="0" w:afterAutospacing="0" w:line="560" w:lineRule="exact"/>
        <w:ind w:firstLineChars="200" w:firstLine="640"/>
        <w:jc w:val="both"/>
        <w:rPr>
          <w:rFonts w:eastAsia="方正仿宋_GBK"/>
          <w:color w:val="000000"/>
          <w:sz w:val="32"/>
          <w:szCs w:val="32"/>
        </w:rPr>
      </w:pPr>
      <w:r>
        <w:rPr>
          <w:rFonts w:eastAsia="方正仿宋_GBK" w:hint="eastAsia"/>
          <w:color w:val="000000"/>
          <w:sz w:val="32"/>
          <w:szCs w:val="32"/>
        </w:rPr>
        <w:t>2025年，苏州工业园区海关坚持以习近平新时代中国特色社会主义思想为指导，深入学习贯彻党的</w:t>
      </w:r>
      <w:r>
        <w:rPr>
          <w:rFonts w:eastAsia="方正仿宋_GBK"/>
          <w:color w:val="000000"/>
          <w:sz w:val="32"/>
          <w:szCs w:val="32"/>
        </w:rPr>
        <w:t>二十届</w:t>
      </w:r>
      <w:bookmarkStart w:id="2" w:name="_GoBack"/>
      <w:bookmarkEnd w:id="2"/>
      <w:r>
        <w:rPr>
          <w:rFonts w:eastAsia="方正仿宋_GBK" w:hint="eastAsia"/>
          <w:color w:val="000000"/>
          <w:sz w:val="32"/>
          <w:szCs w:val="32"/>
        </w:rPr>
        <w:t>历次全会精神，按照上级政务公开工作部署</w:t>
      </w:r>
      <w:r>
        <w:rPr>
          <w:rFonts w:eastAsia="方正仿宋_GBK"/>
          <w:color w:val="000000"/>
          <w:sz w:val="32"/>
          <w:szCs w:val="32"/>
        </w:rPr>
        <w:t>，</w:t>
      </w:r>
      <w:r>
        <w:rPr>
          <w:rFonts w:eastAsia="方正仿宋_GBK" w:hint="eastAsia"/>
          <w:color w:val="000000"/>
          <w:sz w:val="32"/>
          <w:szCs w:val="32"/>
        </w:rPr>
        <w:t>紧紧围绕服务苏州工业园区开放型经济高质量发展，以企业群众需求为导向，</w:t>
      </w:r>
      <w:r>
        <w:rPr>
          <w:rFonts w:eastAsia="方正仿宋_GBK"/>
          <w:color w:val="000000"/>
          <w:sz w:val="32"/>
          <w:szCs w:val="32"/>
        </w:rPr>
        <w:t>持续</w:t>
      </w:r>
      <w:r>
        <w:rPr>
          <w:rFonts w:eastAsia="方正仿宋_GBK" w:hint="eastAsia"/>
          <w:color w:val="000000"/>
          <w:sz w:val="32"/>
          <w:szCs w:val="32"/>
        </w:rPr>
        <w:t>推进基层海关政务公开标准化规范化建设，全面提升政务公开工作水平。</w:t>
      </w:r>
    </w:p>
    <w:p>
      <w:pPr>
        <w:pStyle w:val="39"/>
        <w:ind w:firstLineChars="200" w:firstLine="616"/>
        <w:jc w:val="left"/>
        <w:rPr>
          <w:spacing w:val="-6"/>
          <w:szCs w:val="20"/>
        </w:rPr>
      </w:pPr>
      <w:r>
        <w:rPr>
          <w:rFonts w:ascii="方正楷体_GBK" w:eastAsia="方正楷体_GBK" w:hint="eastAsia"/>
          <w:spacing w:val="-6"/>
          <w:szCs w:val="20"/>
        </w:rPr>
        <w:t>（一）扎实推进政府信息公开。</w:t>
      </w:r>
      <w:r>
        <w:rPr>
          <w:rFonts w:hint="eastAsia"/>
          <w:spacing w:val="-6"/>
        </w:rPr>
        <w:t>严格按照上级海关要求，及时在南京海关门户网站、业务现场政务公开公告栏等载体，主动公开办事机构信息、行政执法信息。定期开展政务公开现场设施巡查，检查和维护业务现场政务公开设施标识。严格落实政务信息公开发布审查制度，</w:t>
      </w:r>
      <w:r>
        <w:rPr>
          <w:rFonts w:hint="eastAsia"/>
          <w:spacing w:val="-6"/>
          <w:szCs w:val="20"/>
        </w:rPr>
        <w:t>依规</w:t>
      </w:r>
      <w:r>
        <w:rPr>
          <w:spacing w:val="-6"/>
        </w:rPr>
        <w:t>稳妥办理</w:t>
      </w:r>
      <w:r>
        <w:rPr>
          <w:rFonts w:hint="eastAsia"/>
          <w:spacing w:val="-6"/>
        </w:rPr>
        <w:t>2</w:t>
      </w:r>
      <w:r>
        <w:rPr>
          <w:spacing w:val="-6"/>
        </w:rPr>
        <w:t>件依申请公开事项，保障人民群众知情权。</w:t>
      </w:r>
    </w:p>
    <w:p>
      <w:pPr>
        <w:pStyle w:val="106"/>
        <w:ind w:firstLineChars="200" w:firstLine="616"/>
        <w:jc w:val="left"/>
        <w:rPr>
          <w:spacing w:val="-6"/>
        </w:rPr>
      </w:pPr>
      <w:r>
        <w:rPr>
          <w:rFonts w:ascii="方正楷体_GBK" w:eastAsia="方正楷体_GBK" w:hint="eastAsia"/>
          <w:spacing w:val="-6"/>
          <w:szCs w:val="20"/>
        </w:rPr>
        <w:t>（二）持续提升政策咨询服务质效。</w:t>
      </w:r>
      <w:r>
        <w:rPr>
          <w:spacing w:val="-6"/>
        </w:rPr>
        <w:t>全年开展</w:t>
      </w:r>
      <w:r>
        <w:rPr>
          <w:rFonts w:hint="eastAsia"/>
          <w:spacing w:val="-6"/>
        </w:rPr>
        <w:t>“</w:t>
      </w:r>
      <w:r>
        <w:rPr>
          <w:spacing w:val="-6"/>
        </w:rPr>
        <w:t>关长接待日</w:t>
      </w:r>
      <w:r>
        <w:rPr>
          <w:rFonts w:hint="eastAsia"/>
          <w:spacing w:val="-6"/>
        </w:rPr>
        <w:t>”</w:t>
      </w:r>
      <w:r>
        <w:rPr>
          <w:spacing w:val="-6"/>
        </w:rPr>
        <w:t>活动</w:t>
      </w:r>
      <w:r>
        <w:rPr>
          <w:rFonts w:hint="eastAsia"/>
          <w:spacing w:val="-6"/>
        </w:rPr>
        <w:t>12</w:t>
      </w:r>
      <w:r>
        <w:rPr>
          <w:spacing w:val="-6"/>
        </w:rPr>
        <w:t>次，</w:t>
      </w:r>
      <w:r>
        <w:rPr>
          <w:rFonts w:hint="eastAsia"/>
          <w:spacing w:val="-6"/>
        </w:rPr>
        <w:t>通过门户网站对外公示，面对面倾听企业群众诉求。</w:t>
      </w:r>
      <w:r>
        <w:rPr>
          <w:spacing w:val="-6"/>
        </w:rPr>
        <w:t>举办新闻发布会</w:t>
      </w:r>
      <w:r>
        <w:rPr>
          <w:rFonts w:hint="eastAsia"/>
          <w:spacing w:val="-6"/>
        </w:rPr>
        <w:t>1场</w:t>
      </w:r>
      <w:r>
        <w:rPr>
          <w:spacing w:val="-6"/>
        </w:rPr>
        <w:t>，发布</w:t>
      </w:r>
      <w:r>
        <w:rPr>
          <w:rFonts w:hint="eastAsia"/>
          <w:spacing w:val="-6"/>
        </w:rPr>
        <w:t>苏州工业园区海关促进集成电路产业稳量优质惠企10条举措，现场接受媒体记者和企业群众提问；</w:t>
      </w:r>
      <w:r>
        <w:rPr>
          <w:spacing w:val="-6"/>
        </w:rPr>
        <w:t>走进</w:t>
      </w:r>
      <w:r>
        <w:rPr>
          <w:rFonts w:hint="eastAsia"/>
          <w:spacing w:val="-6"/>
        </w:rPr>
        <w:t>苏州新闻广播“政风行风热线”，</w:t>
      </w:r>
      <w:r>
        <w:rPr>
          <w:rFonts w:hint="eastAsia"/>
          <w:szCs w:val="32"/>
        </w:rPr>
        <w:t>介绍服务地方经济的创新举措</w:t>
      </w:r>
      <w:r>
        <w:rPr>
          <w:szCs w:val="32"/>
        </w:rPr>
        <w:t>，并与场外听众互动，解答企业、市民关心的热点问题，增进社会公众对海关工作的理解和支持</w:t>
      </w:r>
      <w:r>
        <w:rPr>
          <w:rFonts w:hint="eastAsia"/>
          <w:spacing w:val="-6"/>
        </w:rPr>
        <w:t>；</w:t>
      </w:r>
      <w:r>
        <w:rPr>
          <w:rFonts w:hint="eastAsia"/>
          <w:szCs w:val="32"/>
        </w:rPr>
        <w:t>接转咨询电话1200余个</w:t>
      </w:r>
      <w:r>
        <w:rPr>
          <w:szCs w:val="32"/>
        </w:rPr>
        <w:t>，</w:t>
      </w:r>
      <w:r>
        <w:rPr>
          <w:rFonts w:hint="eastAsia"/>
          <w:szCs w:val="32"/>
        </w:rPr>
        <w:t>高效规范处置12360、12345热线工单120单</w:t>
      </w:r>
      <w:r>
        <w:rPr>
          <w:szCs w:val="32"/>
        </w:rPr>
        <w:t>，持续提升社会公众对海关工作的满意度。</w:t>
      </w:r>
    </w:p>
    <w:p>
      <w:pPr>
        <w:pStyle w:val="77"/>
        <w:spacing w:line="560" w:lineRule="exact"/>
        <w:ind w:firstLineChars="200" w:firstLine="616"/>
        <w:rPr>
          <w:spacing w:val="-6"/>
        </w:rPr>
      </w:pPr>
      <w:r>
        <w:rPr>
          <w:rFonts w:ascii="方正楷体_GBK" w:eastAsia="方正楷体_GBK" w:hint="eastAsia"/>
          <w:spacing w:val="-6"/>
        </w:rPr>
        <w:t>（三）持续丰富政策解读渠道。</w:t>
      </w:r>
      <w:r>
        <w:rPr>
          <w:rFonts w:ascii="方正仿宋_GBK" w:hint="eastAsia"/>
          <w:szCs w:val="32"/>
        </w:rPr>
        <w:t>成立生物医药“关心助企”海关工作站，海关专家每周三到生物医药产业园“坐诊”，贴近企业讲解政策、收集问题、提供解决方案。联合地方政府开发“慧关通”—智慧报关厅公共服务平台，帮助企业查询政策法规、办理海关业务，为企业提供便捷通关解决方案。联合南京海关开发“特殊物品咨询</w:t>
      </w:r>
      <w:r>
        <w:rPr>
          <w:rFonts w:eastAsia="方正黑体_GBK"/>
          <w:szCs w:val="32"/>
        </w:rPr>
        <w:t>AI</w:t>
      </w:r>
      <w:r>
        <w:rPr>
          <w:rFonts w:ascii="方正仿宋_GBK" w:hint="eastAsia"/>
          <w:szCs w:val="32"/>
        </w:rPr>
        <w:t>服务系统”，为企业办理特殊物品通关业务提供</w:t>
      </w:r>
      <w:r>
        <w:rPr>
          <w:szCs w:val="32"/>
        </w:rPr>
        <w:t>24</w:t>
      </w:r>
      <w:r>
        <w:rPr>
          <w:rFonts w:ascii="方正仿宋_GBK" w:hint="eastAsia"/>
          <w:szCs w:val="32"/>
        </w:rPr>
        <w:t>小时咨询服务。今年以来，持续擦亮“关心助企”服务品牌，</w:t>
      </w:r>
      <w:r>
        <w:rPr>
          <w:color w:val="000000"/>
          <w:szCs w:val="32"/>
        </w:rPr>
        <w:t>累计开展</w:t>
      </w:r>
      <w:r>
        <w:rPr>
          <w:rFonts w:hint="eastAsia"/>
          <w:color w:val="000000"/>
          <w:szCs w:val="32"/>
        </w:rPr>
        <w:t>“关长送政策上门”19次，组织政策宣讲、帮扶活动等60</w:t>
      </w:r>
      <w:r>
        <w:rPr>
          <w:color w:val="000000"/>
          <w:szCs w:val="32"/>
        </w:rPr>
        <w:t>场次，覆盖园区企业</w:t>
      </w:r>
      <w:r>
        <w:rPr>
          <w:rFonts w:hint="eastAsia"/>
          <w:color w:val="000000"/>
          <w:szCs w:val="32"/>
        </w:rPr>
        <w:t>1600</w:t>
      </w:r>
      <w:r>
        <w:rPr>
          <w:color w:val="000000"/>
          <w:szCs w:val="32"/>
        </w:rPr>
        <w:t>家次，解决</w:t>
      </w:r>
      <w:r>
        <w:rPr>
          <w:rFonts w:hint="eastAsia"/>
          <w:color w:val="000000"/>
          <w:szCs w:val="32"/>
        </w:rPr>
        <w:t>问题147</w:t>
      </w:r>
      <w:r>
        <w:rPr>
          <w:color w:val="000000"/>
          <w:szCs w:val="32"/>
        </w:rPr>
        <w:t>个。</w:t>
      </w:r>
      <w:r>
        <w:rPr>
          <w:rFonts w:hint="eastAsia"/>
          <w:color w:val="000000"/>
          <w:szCs w:val="32"/>
        </w:rPr>
        <w:t>承办海关总署第19期“政策直通车—走进综保区”，在微信视频号、微博、抖音、快手等平台宣讲海关特殊监管区域政策，线上线下同步接受观众提问，累计达19.1万人次观看。</w:t>
      </w:r>
    </w:p>
    <w:p>
      <w:pPr>
        <w:pStyle w:val="33"/>
        <w:adjustRightInd w:val="0"/>
        <w:snapToGrid w:val="0"/>
        <w:ind w:firstLineChars="200" w:firstLine="624"/>
        <w:rPr>
          <w:rFonts w:ascii="方正黑体_GBK" w:eastAsia="方正黑体_GBK" w:cs="楷体_GB2312" w:hint="eastAsia"/>
          <w:bCs/>
          <w:szCs w:val="32"/>
          <w:shd w:val="clear" w:color="auto" w:fill="FFFFFF"/>
        </w:rPr>
      </w:pPr>
      <w:r>
        <w:rPr>
          <w:rFonts w:ascii="方正黑体_GBK" w:eastAsia="方正黑体_GBK" w:cs="楷体_GB2312" w:hint="eastAsia"/>
          <w:bCs/>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w:t>
            </w:r>
            <w:r>
              <w:rPr>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本年废止件</w:t>
            </w:r>
            <w:r>
              <w:rPr>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jc w:val="center"/>
              <w:rPr>
                <w:sz w:val="24"/>
                <w:szCs w:val="24"/>
              </w:rPr>
            </w:pPr>
            <w:r>
              <w:rPr>
                <w:rFonts w:ascii="宋体" w:cs="宋体" w:hint="eastAsia"/>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sz w:val="24"/>
                <w:szCs w:val="24"/>
              </w:rPr>
            </w:pPr>
            <w:r>
              <w:rPr>
                <w:rFonts w:eastAsia="方正仿宋_GBK"/>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jc w:val="center"/>
              <w:rPr>
                <w:rFonts w:eastAsia="方正仿宋_GBK"/>
                <w:sz w:val="24"/>
                <w:szCs w:val="24"/>
              </w:rPr>
            </w:pPr>
            <w:r>
              <w:rPr>
                <w:rFonts w:eastAsia="方正仿宋_GBK"/>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260" w:lineRule="exact"/>
              <w:jc w:val="center"/>
              <w:rPr>
                <w:sz w:val="24"/>
                <w:szCs w:val="24"/>
              </w:rPr>
            </w:pPr>
            <w:r>
              <w:rPr>
                <w:rFonts w:ascii="宋体" w:cs="宋体" w:hint="eastAsia"/>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203</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108</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jc w:val="center"/>
              <w:rPr>
                <w:sz w:val="24"/>
                <w:szCs w:val="24"/>
              </w:rPr>
            </w:pPr>
            <w:r>
              <w:rPr>
                <w:rFonts w:ascii="宋体" w:cs="宋体" w:hint="eastAsia"/>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260" w:lineRule="exact"/>
              <w:jc w:val="center"/>
              <w:rPr>
                <w:sz w:val="24"/>
                <w:szCs w:val="24"/>
              </w:rPr>
            </w:pPr>
            <w:r>
              <w:rPr>
                <w:rFonts w:ascii="宋体" w:cs="宋体" w:hint="eastAsia"/>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260" w:lineRule="exact"/>
              <w:jc w:val="center"/>
            </w:pPr>
            <w:r>
              <w:rPr>
                <w:rFonts w:ascii="宋体" w:cs="宋体" w:hint="eastAsia"/>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jc w:val="center"/>
              <w:rPr>
                <w:rFonts w:eastAsia="方正仿宋_GBK" w:cs="宋体"/>
                <w:sz w:val="24"/>
                <w:szCs w:val="24"/>
              </w:rPr>
            </w:pPr>
            <w:r>
              <w:rPr>
                <w:rFonts w:eastAsia="方正仿宋_GBK" w:cs="宋体" w:hint="eastAsia"/>
                <w:sz w:val="24"/>
                <w:szCs w:val="24"/>
              </w:rPr>
              <w:t>0</w:t>
            </w:r>
          </w:p>
        </w:tc>
      </w:tr>
    </w:tbl>
    <w:p>
      <w:pPr>
        <w:pStyle w:val="16"/>
        <w:tabs>
          <w:tab w:val="center" w:pos="4153"/>
          <w:tab w:val="right" w:pos="8306"/>
        </w:tabs>
      </w:pP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jc w:val="center"/>
        <w:tblW w:w="90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shd w:val="clear" w:color="auto" w:fill="auto"/>
            <w:tcMar>
              <w:left w:w="108" w:type="dxa"/>
              <w:right w:w="108" w:type="dxa"/>
            </w:tcMar>
            <w:vAlign w:val="center"/>
          </w:tcPr>
          <w:p>
            <w:pPr>
              <w:pStyle w:val="28"/>
              <w:widowControl/>
              <w:jc w:val="center"/>
            </w:pPr>
            <w:r>
              <w:rPr>
                <w:rFonts w:ascii="宋体" w:cs="宋体" w:hint="eastAsia"/>
                <w:kern w:val="0"/>
                <w:sz w:val="20"/>
                <w:szCs w:val="20"/>
              </w:rPr>
              <w:t>（本列数据的勾稽关系为：第一项加第二项之和，等于第三项加第四项之和）</w:t>
            </w:r>
          </w:p>
        </w:tc>
        <w:tc>
          <w:tcPr>
            <w:tcW w:w="4769" w:type="dxa"/>
            <w:gridSpan w:val="7"/>
            <w:shd w:val="clear" w:color="auto" w:fill="auto"/>
            <w:tcMar>
              <w:left w:w="108" w:type="dxa"/>
              <w:right w:w="108" w:type="dxa"/>
            </w:tcMar>
            <w:vAlign w:val="center"/>
          </w:tcPr>
          <w:p>
            <w:pPr>
              <w:pStyle w:val="28"/>
              <w:widowControl/>
              <w:jc w:val="center"/>
            </w:pPr>
            <w:r>
              <w:rPr>
                <w:rFonts w:ascii="宋体" w:cs="宋体" w:hint="eastAsia"/>
                <w:kern w:val="0"/>
                <w:sz w:val="20"/>
                <w:szCs w:val="20"/>
              </w:rPr>
              <w:t>申请人情况</w:t>
            </w:r>
          </w:p>
        </w:tc>
      </w:tr>
      <w:tr>
        <w:trPr>
          <w:tblHeader/>
        </w:trPr>
        <w:tc>
          <w:tcPr>
            <w:tcW w:w="4302" w:type="dxa"/>
            <w:gridSpan w:val="3"/>
            <w:vMerge/>
            <w:shd w:val="clear" w:color="auto" w:fill="auto"/>
            <w:tcMar>
              <w:left w:w="108" w:type="dxa"/>
              <w:right w:w="108" w:type="dxa"/>
            </w:tcMar>
            <w:vAlign w:val="center"/>
          </w:tcPr>
          <w:p/>
        </w:tc>
        <w:tc>
          <w:tcPr>
            <w:tcW w:w="635" w:type="dxa"/>
            <w:vMerge w:val="restart"/>
            <w:shd w:val="clear" w:color="auto" w:fill="auto"/>
            <w:tcMar>
              <w:left w:w="108" w:type="dxa"/>
              <w:right w:w="108" w:type="dxa"/>
            </w:tcMar>
            <w:vAlign w:val="center"/>
          </w:tcPr>
          <w:p>
            <w:pPr>
              <w:pStyle w:val="28"/>
              <w:widowControl/>
              <w:jc w:val="center"/>
            </w:pPr>
            <w:r>
              <w:rPr>
                <w:rFonts w:ascii="宋体" w:cs="宋体" w:hint="eastAsia"/>
                <w:kern w:val="0"/>
                <w:sz w:val="20"/>
                <w:szCs w:val="20"/>
              </w:rPr>
              <w:t>自然人</w:t>
            </w:r>
          </w:p>
        </w:tc>
        <w:tc>
          <w:tcPr>
            <w:tcW w:w="3452" w:type="dxa"/>
            <w:gridSpan w:val="5"/>
            <w:shd w:val="clear" w:color="auto" w:fill="auto"/>
            <w:tcMar>
              <w:left w:w="108" w:type="dxa"/>
              <w:right w:w="108" w:type="dxa"/>
            </w:tcMar>
            <w:vAlign w:val="center"/>
          </w:tcPr>
          <w:p>
            <w:pPr>
              <w:pStyle w:val="28"/>
              <w:widowControl/>
              <w:jc w:val="center"/>
            </w:pPr>
            <w:r>
              <w:rPr>
                <w:rFonts w:ascii="宋体" w:cs="宋体" w:hint="eastAsia"/>
                <w:kern w:val="0"/>
                <w:sz w:val="20"/>
                <w:szCs w:val="20"/>
              </w:rPr>
              <w:t>法人或其他组织</w:t>
            </w:r>
          </w:p>
        </w:tc>
        <w:tc>
          <w:tcPr>
            <w:tcW w:w="682" w:type="dxa"/>
            <w:vMerge w:val="restart"/>
            <w:shd w:val="clear" w:color="auto" w:fill="auto"/>
            <w:tcMar>
              <w:left w:w="108" w:type="dxa"/>
              <w:right w:w="108" w:type="dxa"/>
            </w:tcMar>
            <w:vAlign w:val="center"/>
          </w:tcPr>
          <w:p>
            <w:pPr>
              <w:pStyle w:val="28"/>
              <w:widowControl/>
              <w:jc w:val="center"/>
            </w:pPr>
            <w:r>
              <w:rPr>
                <w:rFonts w:ascii="宋体" w:cs="宋体" w:hint="eastAsia"/>
                <w:kern w:val="0"/>
                <w:sz w:val="20"/>
                <w:szCs w:val="20"/>
              </w:rPr>
              <w:t>总计</w:t>
            </w:r>
          </w:p>
        </w:tc>
      </w:tr>
      <w:tr>
        <w:trPr>
          <w:trHeight w:val="649"/>
          <w:tblHeader/>
        </w:trPr>
        <w:tc>
          <w:tcPr>
            <w:tcW w:w="4302" w:type="dxa"/>
            <w:gridSpan w:val="3"/>
            <w:vMerge/>
            <w:shd w:val="clear" w:color="auto" w:fill="auto"/>
            <w:tcMar>
              <w:left w:w="108" w:type="dxa"/>
              <w:right w:w="108" w:type="dxa"/>
            </w:tcMar>
            <w:vAlign w:val="center"/>
          </w:tcPr>
          <w:p/>
        </w:tc>
        <w:tc>
          <w:tcPr>
            <w:tcW w:w="635" w:type="dxa"/>
            <w:vMerge/>
            <w:shd w:val="clear" w:color="auto" w:fill="auto"/>
            <w:tcMar>
              <w:left w:w="108" w:type="dxa"/>
              <w:right w:w="108" w:type="dxa"/>
            </w:tcMar>
            <w:vAlign w:val="center"/>
          </w:tcPr>
          <w:p/>
        </w:tc>
        <w:tc>
          <w:tcPr>
            <w:tcW w:w="675" w:type="dxa"/>
            <w:shd w:val="clear" w:color="auto" w:fill="auto"/>
            <w:tcMar>
              <w:left w:w="108" w:type="dxa"/>
              <w:right w:w="108" w:type="dxa"/>
            </w:tcMar>
            <w:vAlign w:val="center"/>
          </w:tcPr>
          <w:p>
            <w:pPr>
              <w:pStyle w:val="28"/>
              <w:widowControl/>
              <w:jc w:val="center"/>
            </w:pPr>
            <w:r>
              <w:rPr>
                <w:rFonts w:ascii="宋体" w:cs="宋体" w:hint="eastAsia"/>
                <w:kern w:val="0"/>
                <w:sz w:val="20"/>
                <w:szCs w:val="20"/>
              </w:rPr>
              <w:t>商业企业</w:t>
            </w:r>
          </w:p>
        </w:tc>
        <w:tc>
          <w:tcPr>
            <w:tcW w:w="750" w:type="dxa"/>
            <w:shd w:val="clear" w:color="auto" w:fill="auto"/>
            <w:tcMar>
              <w:left w:w="108" w:type="dxa"/>
              <w:right w:w="108" w:type="dxa"/>
            </w:tcMar>
            <w:vAlign w:val="center"/>
          </w:tcPr>
          <w:p>
            <w:pPr>
              <w:pStyle w:val="28"/>
              <w:widowControl/>
              <w:jc w:val="center"/>
            </w:pPr>
            <w:r>
              <w:rPr>
                <w:rFonts w:ascii="宋体" w:cs="宋体" w:hint="eastAsia"/>
                <w:kern w:val="0"/>
                <w:sz w:val="20"/>
                <w:szCs w:val="20"/>
              </w:rPr>
              <w:t>科研机构</w:t>
            </w:r>
          </w:p>
        </w:tc>
        <w:tc>
          <w:tcPr>
            <w:tcW w:w="765" w:type="dxa"/>
            <w:shd w:val="clear" w:color="auto" w:fill="auto"/>
            <w:tcMar>
              <w:left w:w="108" w:type="dxa"/>
              <w:right w:w="108" w:type="dxa"/>
            </w:tcMar>
            <w:vAlign w:val="center"/>
          </w:tcPr>
          <w:p>
            <w:pPr>
              <w:pStyle w:val="28"/>
              <w:widowControl/>
              <w:jc w:val="center"/>
            </w:pPr>
            <w:r>
              <w:rPr>
                <w:rFonts w:ascii="宋体" w:cs="宋体" w:hint="eastAsia"/>
                <w:kern w:val="0"/>
                <w:sz w:val="20"/>
                <w:szCs w:val="20"/>
              </w:rPr>
              <w:t>社会公益组织</w:t>
            </w:r>
          </w:p>
        </w:tc>
        <w:tc>
          <w:tcPr>
            <w:tcW w:w="765" w:type="dxa"/>
            <w:shd w:val="clear" w:color="auto" w:fill="auto"/>
            <w:tcMar>
              <w:left w:w="108" w:type="dxa"/>
              <w:right w:w="108" w:type="dxa"/>
            </w:tcMar>
            <w:vAlign w:val="center"/>
          </w:tcPr>
          <w:p>
            <w:pPr>
              <w:pStyle w:val="28"/>
              <w:widowControl/>
              <w:jc w:val="center"/>
            </w:pPr>
            <w:r>
              <w:rPr>
                <w:rFonts w:ascii="宋体" w:cs="宋体" w:hint="eastAsia"/>
                <w:kern w:val="0"/>
                <w:sz w:val="20"/>
                <w:szCs w:val="20"/>
              </w:rPr>
              <w:t>法律服务机构</w:t>
            </w:r>
          </w:p>
        </w:tc>
        <w:tc>
          <w:tcPr>
            <w:tcW w:w="497" w:type="dxa"/>
            <w:shd w:val="clear" w:color="auto" w:fill="auto"/>
            <w:tcMar>
              <w:left w:w="108" w:type="dxa"/>
              <w:right w:w="108" w:type="dxa"/>
            </w:tcMar>
            <w:vAlign w:val="center"/>
          </w:tcPr>
          <w:p>
            <w:pPr>
              <w:pStyle w:val="28"/>
              <w:widowControl/>
              <w:jc w:val="center"/>
            </w:pPr>
            <w:r>
              <w:rPr>
                <w:rFonts w:ascii="宋体" w:cs="宋体" w:hint="eastAsia"/>
                <w:kern w:val="0"/>
                <w:sz w:val="20"/>
                <w:szCs w:val="20"/>
              </w:rPr>
              <w:t>其他</w:t>
            </w:r>
          </w:p>
        </w:tc>
        <w:tc>
          <w:tcPr>
            <w:tcW w:w="682" w:type="dxa"/>
            <w:vMerge/>
            <w:shd w:val="clear" w:color="auto" w:fill="auto"/>
            <w:tcMar>
              <w:left w:w="108" w:type="dxa"/>
              <w:right w:w="108" w:type="dxa"/>
            </w:tcMar>
            <w:vAlign w:val="center"/>
          </w:tcPr>
          <w:p/>
        </w:tc>
      </w:tr>
      <w:tr>
        <w:tc>
          <w:tcPr>
            <w:tcW w:w="4302" w:type="dxa"/>
            <w:gridSpan w:val="3"/>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一、本年新收政府信息公开申请数量</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r>
      <w:tr>
        <w:tc>
          <w:tcPr>
            <w:tcW w:w="4302" w:type="dxa"/>
            <w:gridSpan w:val="3"/>
            <w:shd w:val="clear" w:color="auto" w:fill="auto"/>
            <w:tcMar>
              <w:left w:w="108" w:type="dxa"/>
              <w:right w:w="108" w:type="dxa"/>
            </w:tcMar>
          </w:tcPr>
          <w:p>
            <w:pPr>
              <w:pStyle w:val="28"/>
              <w:widowControl/>
              <w:jc w:val="left"/>
              <w:rPr>
                <w:sz w:val="24"/>
                <w:szCs w:val="24"/>
              </w:rPr>
            </w:pPr>
            <w:r>
              <w:rPr>
                <w:rFonts w:ascii="宋体" w:cs="宋体" w:hint="eastAsia"/>
                <w:kern w:val="0"/>
                <w:sz w:val="24"/>
                <w:szCs w:val="24"/>
              </w:rPr>
              <w:t>二、上年结转政府信息公开申请数量</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三、本年度办理结果</w:t>
            </w:r>
          </w:p>
        </w:tc>
        <w:tc>
          <w:tcPr>
            <w:tcW w:w="3606" w:type="dxa"/>
            <w:gridSpan w:val="2"/>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（一）予以公开</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shd w:val="clear" w:color="auto" w:fill="auto"/>
            <w:tcMar>
              <w:left w:w="108" w:type="dxa"/>
              <w:right w:w="108" w:type="dxa"/>
            </w:tcMar>
            <w:vAlign w:val="center"/>
          </w:tcPr>
          <w:p/>
        </w:tc>
        <w:tc>
          <w:tcPr>
            <w:tcW w:w="3606" w:type="dxa"/>
            <w:gridSpan w:val="2"/>
            <w:shd w:val="clear" w:color="auto" w:fill="auto"/>
            <w:tcMar>
              <w:left w:w="108" w:type="dxa"/>
              <w:right w:w="108" w:type="dxa"/>
            </w:tcMar>
            <w:vAlign w:val="center"/>
          </w:tcPr>
          <w:p>
            <w:pPr>
              <w:pStyle w:val="28"/>
              <w:widowControl/>
              <w:jc w:val="left"/>
              <w:rPr>
                <w:sz w:val="24"/>
                <w:szCs w:val="24"/>
              </w:rPr>
            </w:pPr>
            <w:r>
              <w:rPr>
                <w:rFonts w:ascii="楷体" w:eastAsia="楷体" w:cs="楷体" w:hint="eastAsia"/>
                <w:kern w:val="0"/>
                <w:sz w:val="24"/>
                <w:szCs w:val="24"/>
              </w:rPr>
              <w:t>（二）部分公开（区分处理的，只计这一情形，不计其他情形）</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1</w:t>
            </w:r>
          </w:p>
        </w:tc>
      </w:tr>
      <w:tr>
        <w:tc>
          <w:tcPr>
            <w:tcW w:w="696" w:type="dxa"/>
            <w:vMerge/>
            <w:shd w:val="clear" w:color="auto" w:fill="auto"/>
            <w:tcMar>
              <w:left w:w="108" w:type="dxa"/>
              <w:right w:w="108" w:type="dxa"/>
            </w:tcMar>
            <w:vAlign w:val="center"/>
          </w:tcPr>
          <w:p/>
        </w:tc>
        <w:tc>
          <w:tcPr>
            <w:tcW w:w="936" w:type="dxa"/>
            <w:vMerge w:val="restart"/>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（三）不予公开</w:t>
            </w: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1.属于国家秘密</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2.其他法律行政法规禁止公开</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3.危及“三安全一稳定”</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4.保护第三方合法权益</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5.属于三类内部事务信息</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6.属于四类过程性信息</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7.属于行政执法案卷</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8.属于行政查询事项</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val="restart"/>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（四）无法提供</w:t>
            </w: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1.本机关不掌握相关政府信息</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2.没有现成信息需要另行制作</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3.补正后申请内容仍不明确</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val="restart"/>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（五）不予处理</w:t>
            </w: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1.信访举报投诉类申请</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2.重复申请</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3.要求提供公开出版物</w:t>
            </w:r>
          </w:p>
        </w:tc>
        <w:tc>
          <w:tcPr>
            <w:tcW w:w="635" w:type="dxa"/>
            <w:shd w:val="clear" w:color="auto" w:fill="auto"/>
            <w:tcMar>
              <w:left w:w="108" w:type="dxa"/>
              <w:right w:w="108" w:type="dxa"/>
            </w:tcMar>
          </w:tcPr>
          <w:p>
            <w:pPr>
              <w:jc w:val="center"/>
            </w:pPr>
            <w:r>
              <w:rPr>
                <w:rFonts w:hint="eastAsia"/>
                <w:sz w:val="24"/>
                <w:szCs w:val="24"/>
              </w:rPr>
              <w:t>0</w:t>
            </w:r>
          </w:p>
        </w:tc>
        <w:tc>
          <w:tcPr>
            <w:tcW w:w="675" w:type="dxa"/>
            <w:shd w:val="clear" w:color="auto" w:fill="auto"/>
            <w:tcMar>
              <w:left w:w="108" w:type="dxa"/>
              <w:right w:w="108" w:type="dxa"/>
            </w:tcMar>
          </w:tcPr>
          <w:p>
            <w:pPr>
              <w:jc w:val="center"/>
            </w:pPr>
            <w:r>
              <w:rPr>
                <w:rFonts w:hint="eastAsia"/>
                <w:sz w:val="24"/>
                <w:szCs w:val="24"/>
              </w:rPr>
              <w:t>0</w:t>
            </w:r>
          </w:p>
        </w:tc>
        <w:tc>
          <w:tcPr>
            <w:tcW w:w="750"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497" w:type="dxa"/>
            <w:shd w:val="clear" w:color="auto" w:fill="auto"/>
            <w:tcMar>
              <w:left w:w="108" w:type="dxa"/>
              <w:right w:w="108" w:type="dxa"/>
            </w:tcMar>
          </w:tcPr>
          <w:p>
            <w:pPr>
              <w:jc w:val="center"/>
            </w:pPr>
            <w:r>
              <w:rPr>
                <w:rFonts w:hint="eastAsia"/>
                <w:sz w:val="24"/>
                <w:szCs w:val="24"/>
              </w:rPr>
              <w:t>0</w:t>
            </w:r>
          </w:p>
        </w:tc>
        <w:tc>
          <w:tcPr>
            <w:tcW w:w="682" w:type="dxa"/>
            <w:shd w:val="clear" w:color="auto" w:fill="auto"/>
            <w:tcMar>
              <w:left w:w="108" w:type="dxa"/>
              <w:right w:w="108" w:type="dxa"/>
            </w:tcMar>
          </w:tcPr>
          <w:p>
            <w:pPr>
              <w:jc w:val="center"/>
            </w:pPr>
            <w:r>
              <w:rPr>
                <w:rFonts w:hint="eastAsia"/>
                <w:sz w:val="24"/>
                <w:szCs w:val="24"/>
              </w:rPr>
              <w:t>0</w:t>
            </w:r>
          </w:p>
        </w:tc>
      </w:tr>
      <w:tr>
        <w:trPr>
          <w:trHeight w:val="810"/>
        </w:trP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4.无正当理由大量反复申请</w:t>
            </w:r>
          </w:p>
        </w:tc>
        <w:tc>
          <w:tcPr>
            <w:tcW w:w="635" w:type="dxa"/>
            <w:shd w:val="clear" w:color="auto" w:fill="auto"/>
            <w:tcMar>
              <w:left w:w="108" w:type="dxa"/>
              <w:right w:w="108" w:type="dxa"/>
            </w:tcMar>
          </w:tcPr>
          <w:p>
            <w:pPr>
              <w:jc w:val="center"/>
            </w:pPr>
            <w:r>
              <w:rPr>
                <w:rFonts w:hint="eastAsia"/>
                <w:sz w:val="24"/>
                <w:szCs w:val="24"/>
              </w:rPr>
              <w:t>0</w:t>
            </w:r>
          </w:p>
        </w:tc>
        <w:tc>
          <w:tcPr>
            <w:tcW w:w="675" w:type="dxa"/>
            <w:shd w:val="clear" w:color="auto" w:fill="auto"/>
            <w:tcMar>
              <w:left w:w="108" w:type="dxa"/>
              <w:right w:w="108" w:type="dxa"/>
            </w:tcMar>
          </w:tcPr>
          <w:p>
            <w:pPr>
              <w:jc w:val="center"/>
            </w:pPr>
            <w:r>
              <w:rPr>
                <w:rFonts w:hint="eastAsia"/>
                <w:sz w:val="24"/>
                <w:szCs w:val="24"/>
              </w:rPr>
              <w:t>0</w:t>
            </w:r>
          </w:p>
        </w:tc>
        <w:tc>
          <w:tcPr>
            <w:tcW w:w="750"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497" w:type="dxa"/>
            <w:shd w:val="clear" w:color="auto" w:fill="auto"/>
            <w:tcMar>
              <w:left w:w="108" w:type="dxa"/>
              <w:right w:w="108" w:type="dxa"/>
            </w:tcMar>
          </w:tcPr>
          <w:p>
            <w:pPr>
              <w:jc w:val="center"/>
            </w:pPr>
            <w:r>
              <w:rPr>
                <w:rFonts w:hint="eastAsia"/>
                <w:sz w:val="24"/>
                <w:szCs w:val="24"/>
              </w:rPr>
              <w:t>0</w:t>
            </w:r>
          </w:p>
        </w:tc>
        <w:tc>
          <w:tcPr>
            <w:tcW w:w="682" w:type="dxa"/>
            <w:shd w:val="clear" w:color="auto" w:fill="auto"/>
            <w:tcMar>
              <w:left w:w="108" w:type="dxa"/>
              <w:right w:w="108" w:type="dxa"/>
            </w:tcMar>
          </w:tcPr>
          <w:p>
            <w:pPr>
              <w:jc w:val="center"/>
            </w:pPr>
            <w:r>
              <w:rPr>
                <w:rFonts w:hint="eastAsia"/>
                <w:sz w:val="24"/>
                <w:szCs w:val="24"/>
              </w:rPr>
              <w:t>0</w:t>
            </w:r>
          </w:p>
        </w:tc>
      </w:tr>
      <w:tr>
        <w:tc>
          <w:tcPr>
            <w:tcW w:w="696" w:type="dxa"/>
            <w:vMerge/>
            <w:shd w:val="clear" w:color="auto" w:fill="auto"/>
            <w:tcMar>
              <w:left w:w="108" w:type="dxa"/>
              <w:right w:w="108" w:type="dxa"/>
            </w:tcMar>
            <w:vAlign w:val="center"/>
          </w:tcPr>
          <w:p/>
        </w:tc>
        <w:tc>
          <w:tcPr>
            <w:tcW w:w="936" w:type="dxa"/>
            <w:vMerge/>
            <w:shd w:val="clear" w:color="auto" w:fill="auto"/>
            <w:tcMar>
              <w:left w:w="108" w:type="dxa"/>
              <w:right w:w="108" w:type="dxa"/>
            </w:tcMar>
            <w:vAlign w:val="center"/>
          </w:tcPr>
          <w:p/>
        </w:tc>
        <w:tc>
          <w:tcPr>
            <w:tcW w:w="2670" w:type="dxa"/>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5.要求行政机关确认或重新出具已获取信息</w:t>
            </w:r>
          </w:p>
        </w:tc>
        <w:tc>
          <w:tcPr>
            <w:tcW w:w="635" w:type="dxa"/>
            <w:shd w:val="clear" w:color="auto" w:fill="auto"/>
            <w:tcMar>
              <w:left w:w="108" w:type="dxa"/>
              <w:right w:w="108" w:type="dxa"/>
            </w:tcMar>
          </w:tcPr>
          <w:p>
            <w:pPr>
              <w:jc w:val="center"/>
            </w:pPr>
            <w:r>
              <w:rPr>
                <w:rFonts w:hint="eastAsia"/>
                <w:sz w:val="24"/>
                <w:szCs w:val="24"/>
              </w:rPr>
              <w:t>0</w:t>
            </w:r>
          </w:p>
        </w:tc>
        <w:tc>
          <w:tcPr>
            <w:tcW w:w="675" w:type="dxa"/>
            <w:shd w:val="clear" w:color="auto" w:fill="auto"/>
            <w:tcMar>
              <w:left w:w="108" w:type="dxa"/>
              <w:right w:w="108" w:type="dxa"/>
            </w:tcMar>
          </w:tcPr>
          <w:p>
            <w:pPr>
              <w:jc w:val="center"/>
            </w:pPr>
            <w:r>
              <w:rPr>
                <w:rFonts w:hint="eastAsia"/>
                <w:sz w:val="24"/>
                <w:szCs w:val="24"/>
              </w:rPr>
              <w:t>0</w:t>
            </w:r>
          </w:p>
        </w:tc>
        <w:tc>
          <w:tcPr>
            <w:tcW w:w="750"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497" w:type="dxa"/>
            <w:shd w:val="clear" w:color="auto" w:fill="auto"/>
            <w:tcMar>
              <w:left w:w="108" w:type="dxa"/>
              <w:right w:w="108" w:type="dxa"/>
            </w:tcMar>
          </w:tcPr>
          <w:p>
            <w:pPr>
              <w:jc w:val="center"/>
            </w:pPr>
            <w:r>
              <w:rPr>
                <w:rFonts w:hint="eastAsia"/>
                <w:sz w:val="24"/>
                <w:szCs w:val="24"/>
              </w:rPr>
              <w:t>0</w:t>
            </w:r>
          </w:p>
        </w:tc>
        <w:tc>
          <w:tcPr>
            <w:tcW w:w="682" w:type="dxa"/>
            <w:shd w:val="clear" w:color="auto" w:fill="auto"/>
            <w:tcMar>
              <w:left w:w="108" w:type="dxa"/>
              <w:right w:w="108" w:type="dxa"/>
            </w:tcMar>
          </w:tcPr>
          <w:p>
            <w:pPr>
              <w:jc w:val="center"/>
            </w:pPr>
            <w:r>
              <w:rPr>
                <w:rFonts w:hint="eastAsia"/>
                <w:sz w:val="24"/>
                <w:szCs w:val="24"/>
              </w:rPr>
              <w:t>0</w:t>
            </w:r>
          </w:p>
        </w:tc>
      </w:tr>
      <w:tr>
        <w:trPr>
          <w:trHeight w:val="567"/>
        </w:trPr>
        <w:tc>
          <w:tcPr>
            <w:tcW w:w="696" w:type="dxa"/>
            <w:vMerge/>
            <w:shd w:val="clear" w:color="auto" w:fill="auto"/>
            <w:tcMar>
              <w:left w:w="108" w:type="dxa"/>
              <w:right w:w="108" w:type="dxa"/>
            </w:tcMar>
            <w:vAlign w:val="center"/>
          </w:tcPr>
          <w:p/>
        </w:tc>
        <w:tc>
          <w:tcPr>
            <w:tcW w:w="936" w:type="dxa"/>
            <w:vMerge w:val="restart"/>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（六）其他处理</w:t>
            </w:r>
          </w:p>
        </w:tc>
        <w:tc>
          <w:tcPr>
            <w:tcW w:w="2670" w:type="dxa"/>
            <w:shd w:val="clear" w:color="auto" w:fill="auto"/>
            <w:tcMar>
              <w:left w:w="108" w:type="dxa"/>
              <w:right w:w="108" w:type="dxa"/>
            </w:tcMar>
          </w:tcPr>
          <w:p>
            <w:pPr>
              <w:pStyle w:val="28"/>
              <w:widowControl/>
              <w:rPr>
                <w:rFonts w:ascii="楷体" w:eastAsia="楷体" w:cs="楷体" w:hint="eastAsia"/>
                <w:kern w:val="0"/>
                <w:sz w:val="24"/>
                <w:szCs w:val="24"/>
              </w:rPr>
            </w:pPr>
            <w:r>
              <w:rPr>
                <w:rFonts w:ascii="楷体" w:eastAsia="楷体" w:cs="楷体" w:hint="eastAsia"/>
                <w:kern w:val="0"/>
                <w:sz w:val="24"/>
                <w:szCs w:val="24"/>
              </w:rPr>
              <w:t>1.申请人无正当理由逾期不补正、行政机关不再处理其政府信息公开申请</w:t>
            </w:r>
          </w:p>
        </w:tc>
        <w:tc>
          <w:tcPr>
            <w:tcW w:w="635" w:type="dxa"/>
            <w:shd w:val="clear" w:color="auto" w:fill="auto"/>
            <w:tcMar>
              <w:left w:w="108" w:type="dxa"/>
              <w:right w:w="108" w:type="dxa"/>
            </w:tcMar>
          </w:tcPr>
          <w:p>
            <w:pPr>
              <w:jc w:val="center"/>
            </w:pPr>
            <w:r>
              <w:rPr>
                <w:rFonts w:hint="eastAsia"/>
                <w:sz w:val="24"/>
                <w:szCs w:val="24"/>
              </w:rPr>
              <w:t>0</w:t>
            </w:r>
          </w:p>
        </w:tc>
        <w:tc>
          <w:tcPr>
            <w:tcW w:w="675" w:type="dxa"/>
            <w:shd w:val="clear" w:color="auto" w:fill="auto"/>
            <w:tcMar>
              <w:left w:w="108" w:type="dxa"/>
              <w:right w:w="108" w:type="dxa"/>
            </w:tcMar>
          </w:tcPr>
          <w:p>
            <w:pPr>
              <w:jc w:val="center"/>
            </w:pPr>
            <w:r>
              <w:rPr>
                <w:rFonts w:hint="eastAsia"/>
                <w:sz w:val="24"/>
                <w:szCs w:val="24"/>
              </w:rPr>
              <w:t>0</w:t>
            </w:r>
          </w:p>
        </w:tc>
        <w:tc>
          <w:tcPr>
            <w:tcW w:w="750"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765" w:type="dxa"/>
            <w:shd w:val="clear" w:color="auto" w:fill="auto"/>
            <w:tcMar>
              <w:left w:w="108" w:type="dxa"/>
              <w:right w:w="108" w:type="dxa"/>
            </w:tcMar>
          </w:tcPr>
          <w:p>
            <w:pPr>
              <w:jc w:val="center"/>
            </w:pPr>
            <w:r>
              <w:rPr>
                <w:rFonts w:hint="eastAsia"/>
                <w:sz w:val="24"/>
                <w:szCs w:val="24"/>
              </w:rPr>
              <w:t>0</w:t>
            </w:r>
          </w:p>
        </w:tc>
        <w:tc>
          <w:tcPr>
            <w:tcW w:w="497" w:type="dxa"/>
            <w:shd w:val="clear" w:color="auto" w:fill="auto"/>
            <w:tcMar>
              <w:left w:w="108" w:type="dxa"/>
              <w:right w:w="108" w:type="dxa"/>
            </w:tcMar>
          </w:tcPr>
          <w:p>
            <w:pPr>
              <w:jc w:val="center"/>
            </w:pPr>
            <w:r>
              <w:rPr>
                <w:rFonts w:hint="eastAsia"/>
                <w:sz w:val="24"/>
                <w:szCs w:val="24"/>
              </w:rPr>
              <w:t>0</w:t>
            </w:r>
          </w:p>
        </w:tc>
        <w:tc>
          <w:tcPr>
            <w:tcW w:w="682" w:type="dxa"/>
            <w:shd w:val="clear" w:color="auto" w:fill="auto"/>
            <w:tcMar>
              <w:left w:w="108" w:type="dxa"/>
              <w:right w:w="108" w:type="dxa"/>
            </w:tcMar>
          </w:tcPr>
          <w:p>
            <w:pPr>
              <w:jc w:val="center"/>
            </w:pPr>
            <w:r>
              <w:rPr>
                <w:rFonts w:hint="eastAsia"/>
                <w:sz w:val="24"/>
                <w:szCs w:val="24"/>
              </w:rPr>
              <w:t>0</w:t>
            </w:r>
          </w:p>
        </w:tc>
      </w:tr>
      <w:tr>
        <w:trPr>
          <w:trHeight w:val="567"/>
        </w:trPr>
        <w:tc>
          <w:tcPr>
            <w:tcW w:w="696" w:type="dxa"/>
            <w:vMerge/>
            <w:shd w:val="clear" w:color="auto" w:fill="auto"/>
            <w:vAlign w:val="center"/>
          </w:tcPr>
          <w:p/>
        </w:tc>
        <w:tc>
          <w:tcPr>
            <w:tcW w:w="936" w:type="dxa"/>
            <w:vMerge/>
            <w:shd w:val="clear" w:color="auto" w:fill="auto"/>
            <w:vAlign w:val="center"/>
          </w:tcPr>
          <w:p/>
        </w:tc>
        <w:tc>
          <w:tcPr>
            <w:tcW w:w="2670" w:type="dxa"/>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2.申请人逾期未按收费通知要求缴纳费用、行政机关不再处理其政府信息公开申请</w:t>
            </w:r>
          </w:p>
        </w:tc>
        <w:tc>
          <w:tcPr>
            <w:tcW w:w="635" w:type="dxa"/>
            <w:shd w:val="clear" w:color="auto" w:fill="auto"/>
          </w:tcPr>
          <w:p>
            <w:pPr>
              <w:jc w:val="center"/>
            </w:pPr>
            <w:r>
              <w:rPr>
                <w:rFonts w:hint="eastAsia"/>
                <w:sz w:val="24"/>
                <w:szCs w:val="24"/>
              </w:rPr>
              <w:t>0</w:t>
            </w:r>
          </w:p>
        </w:tc>
        <w:tc>
          <w:tcPr>
            <w:tcW w:w="675" w:type="dxa"/>
            <w:shd w:val="clear" w:color="auto" w:fill="auto"/>
          </w:tcPr>
          <w:p>
            <w:pPr>
              <w:jc w:val="center"/>
            </w:pPr>
            <w:r>
              <w:rPr>
                <w:rFonts w:hint="eastAsia"/>
                <w:sz w:val="24"/>
                <w:szCs w:val="24"/>
              </w:rPr>
              <w:t>0</w:t>
            </w:r>
          </w:p>
        </w:tc>
        <w:tc>
          <w:tcPr>
            <w:tcW w:w="750"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497" w:type="dxa"/>
            <w:shd w:val="clear" w:color="auto" w:fill="auto"/>
          </w:tcPr>
          <w:p>
            <w:pPr>
              <w:jc w:val="center"/>
            </w:pPr>
            <w:r>
              <w:rPr>
                <w:rFonts w:hint="eastAsia"/>
                <w:sz w:val="24"/>
                <w:szCs w:val="24"/>
              </w:rPr>
              <w:t>0</w:t>
            </w:r>
          </w:p>
        </w:tc>
        <w:tc>
          <w:tcPr>
            <w:tcW w:w="682" w:type="dxa"/>
            <w:shd w:val="clear" w:color="auto" w:fill="auto"/>
          </w:tcPr>
          <w:p>
            <w:pPr>
              <w:jc w:val="center"/>
            </w:pPr>
            <w:r>
              <w:rPr>
                <w:rFonts w:hint="eastAsia"/>
                <w:sz w:val="24"/>
                <w:szCs w:val="24"/>
              </w:rPr>
              <w:t>0</w:t>
            </w:r>
          </w:p>
        </w:tc>
      </w:tr>
      <w:tr>
        <w:trPr>
          <w:trHeight w:val="567"/>
        </w:trPr>
        <w:tc>
          <w:tcPr>
            <w:tcW w:w="696" w:type="dxa"/>
            <w:vMerge/>
            <w:shd w:val="clear" w:color="auto" w:fill="auto"/>
            <w:vAlign w:val="center"/>
          </w:tcPr>
          <w:p/>
        </w:tc>
        <w:tc>
          <w:tcPr>
            <w:tcW w:w="936" w:type="dxa"/>
            <w:vMerge/>
            <w:shd w:val="clear" w:color="auto" w:fill="auto"/>
            <w:vAlign w:val="center"/>
          </w:tcPr>
          <w:p/>
        </w:tc>
        <w:tc>
          <w:tcPr>
            <w:tcW w:w="2670" w:type="dxa"/>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3.咨询事项，指引咨询渠道</w:t>
            </w:r>
          </w:p>
        </w:tc>
        <w:tc>
          <w:tcPr>
            <w:tcW w:w="635" w:type="dxa"/>
            <w:shd w:val="clear" w:color="auto" w:fill="auto"/>
          </w:tcPr>
          <w:p>
            <w:pPr>
              <w:jc w:val="center"/>
            </w:pPr>
            <w:r>
              <w:rPr>
                <w:rFonts w:hint="eastAsia"/>
                <w:sz w:val="24"/>
                <w:szCs w:val="24"/>
              </w:rPr>
              <w:t>0</w:t>
            </w:r>
          </w:p>
        </w:tc>
        <w:tc>
          <w:tcPr>
            <w:tcW w:w="675" w:type="dxa"/>
            <w:shd w:val="clear" w:color="auto" w:fill="auto"/>
          </w:tcPr>
          <w:p>
            <w:pPr>
              <w:jc w:val="center"/>
            </w:pPr>
            <w:r>
              <w:rPr>
                <w:rFonts w:hint="eastAsia"/>
                <w:sz w:val="24"/>
                <w:szCs w:val="24"/>
              </w:rPr>
              <w:t>0</w:t>
            </w:r>
          </w:p>
        </w:tc>
        <w:tc>
          <w:tcPr>
            <w:tcW w:w="750"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497" w:type="dxa"/>
            <w:shd w:val="clear" w:color="auto" w:fill="auto"/>
          </w:tcPr>
          <w:p>
            <w:pPr>
              <w:jc w:val="center"/>
            </w:pPr>
            <w:r>
              <w:rPr>
                <w:rFonts w:hint="eastAsia"/>
                <w:sz w:val="24"/>
                <w:szCs w:val="24"/>
              </w:rPr>
              <w:t>0</w:t>
            </w:r>
          </w:p>
        </w:tc>
        <w:tc>
          <w:tcPr>
            <w:tcW w:w="682" w:type="dxa"/>
            <w:shd w:val="clear" w:color="auto" w:fill="auto"/>
          </w:tcPr>
          <w:p>
            <w:pPr>
              <w:jc w:val="center"/>
            </w:pPr>
            <w:r>
              <w:rPr>
                <w:rFonts w:hint="eastAsia"/>
                <w:sz w:val="24"/>
                <w:szCs w:val="24"/>
              </w:rPr>
              <w:t>0</w:t>
            </w:r>
          </w:p>
        </w:tc>
      </w:tr>
      <w:tr>
        <w:trPr>
          <w:trHeight w:val="567"/>
        </w:trPr>
        <w:tc>
          <w:tcPr>
            <w:tcW w:w="696" w:type="dxa"/>
            <w:vMerge/>
            <w:shd w:val="clear" w:color="auto" w:fill="auto"/>
            <w:vAlign w:val="center"/>
          </w:tcPr>
          <w:p/>
        </w:tc>
        <w:tc>
          <w:tcPr>
            <w:tcW w:w="936" w:type="dxa"/>
            <w:vMerge/>
            <w:shd w:val="clear" w:color="auto" w:fill="auto"/>
            <w:vAlign w:val="center"/>
          </w:tcPr>
          <w:p/>
        </w:tc>
        <w:tc>
          <w:tcPr>
            <w:tcW w:w="2670" w:type="dxa"/>
            <w:shd w:val="clear" w:color="auto" w:fill="auto"/>
          </w:tcPr>
          <w:p>
            <w:pPr>
              <w:pStyle w:val="28"/>
              <w:widowControl/>
              <w:rPr>
                <w:rFonts w:ascii="楷体" w:eastAsia="楷体" w:cs="楷体" w:hint="eastAsia"/>
                <w:kern w:val="0"/>
                <w:sz w:val="24"/>
                <w:szCs w:val="24"/>
              </w:rPr>
            </w:pPr>
            <w:r>
              <w:rPr>
                <w:rFonts w:ascii="楷体" w:eastAsia="楷体" w:cs="楷体" w:hint="eastAsia"/>
                <w:kern w:val="0"/>
                <w:sz w:val="24"/>
                <w:szCs w:val="24"/>
              </w:rPr>
              <w:t>4.申请人撤销申请</w:t>
            </w:r>
          </w:p>
        </w:tc>
        <w:tc>
          <w:tcPr>
            <w:tcW w:w="635" w:type="dxa"/>
            <w:shd w:val="clear" w:color="auto" w:fill="auto"/>
          </w:tcPr>
          <w:p>
            <w:pPr>
              <w:jc w:val="center"/>
            </w:pPr>
            <w:r>
              <w:rPr>
                <w:rFonts w:hint="eastAsia"/>
                <w:sz w:val="24"/>
                <w:szCs w:val="24"/>
              </w:rPr>
              <w:t>0</w:t>
            </w:r>
          </w:p>
        </w:tc>
        <w:tc>
          <w:tcPr>
            <w:tcW w:w="675" w:type="dxa"/>
            <w:shd w:val="clear" w:color="auto" w:fill="auto"/>
          </w:tcPr>
          <w:p>
            <w:pPr>
              <w:jc w:val="center"/>
            </w:pPr>
            <w:r>
              <w:rPr>
                <w:rFonts w:hint="eastAsia"/>
                <w:sz w:val="24"/>
                <w:szCs w:val="24"/>
              </w:rPr>
              <w:t>0</w:t>
            </w:r>
          </w:p>
        </w:tc>
        <w:tc>
          <w:tcPr>
            <w:tcW w:w="750"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765" w:type="dxa"/>
            <w:shd w:val="clear" w:color="auto" w:fill="auto"/>
          </w:tcPr>
          <w:p>
            <w:pPr>
              <w:jc w:val="center"/>
            </w:pPr>
            <w:r>
              <w:rPr>
                <w:rFonts w:hint="eastAsia"/>
                <w:sz w:val="24"/>
                <w:szCs w:val="24"/>
              </w:rPr>
              <w:t>0</w:t>
            </w:r>
          </w:p>
        </w:tc>
        <w:tc>
          <w:tcPr>
            <w:tcW w:w="497" w:type="dxa"/>
            <w:shd w:val="clear" w:color="auto" w:fill="auto"/>
          </w:tcPr>
          <w:p>
            <w:pPr>
              <w:jc w:val="center"/>
            </w:pPr>
            <w:r>
              <w:rPr>
                <w:rFonts w:hint="eastAsia"/>
                <w:sz w:val="24"/>
                <w:szCs w:val="24"/>
              </w:rPr>
              <w:t>0</w:t>
            </w:r>
          </w:p>
        </w:tc>
        <w:tc>
          <w:tcPr>
            <w:tcW w:w="682" w:type="dxa"/>
            <w:shd w:val="clear" w:color="auto" w:fill="auto"/>
          </w:tcPr>
          <w:p>
            <w:pPr>
              <w:jc w:val="center"/>
            </w:pPr>
            <w:r>
              <w:rPr>
                <w:rFonts w:hint="eastAsia"/>
                <w:sz w:val="24"/>
                <w:szCs w:val="24"/>
              </w:rPr>
              <w:t>0</w:t>
            </w:r>
          </w:p>
        </w:tc>
      </w:tr>
      <w:tr>
        <w:tc>
          <w:tcPr>
            <w:tcW w:w="696" w:type="dxa"/>
            <w:vMerge/>
            <w:shd w:val="clear" w:color="auto" w:fill="auto"/>
            <w:tcMar>
              <w:left w:w="108" w:type="dxa"/>
              <w:right w:w="108" w:type="dxa"/>
            </w:tcMar>
            <w:vAlign w:val="center"/>
          </w:tcPr>
          <w:p/>
        </w:tc>
        <w:tc>
          <w:tcPr>
            <w:tcW w:w="3606" w:type="dxa"/>
            <w:gridSpan w:val="2"/>
            <w:shd w:val="clear" w:color="auto" w:fill="auto"/>
            <w:tcMar>
              <w:left w:w="108" w:type="dxa"/>
              <w:right w:w="108" w:type="dxa"/>
            </w:tcMar>
            <w:vAlign w:val="center"/>
          </w:tcPr>
          <w:p>
            <w:pPr>
              <w:pStyle w:val="28"/>
              <w:widowControl/>
              <w:rPr>
                <w:sz w:val="24"/>
                <w:szCs w:val="24"/>
              </w:rPr>
            </w:pPr>
            <w:r>
              <w:rPr>
                <w:rFonts w:ascii="楷体" w:eastAsia="楷体" w:cs="楷体" w:hint="eastAsia"/>
                <w:kern w:val="0"/>
                <w:sz w:val="24"/>
                <w:szCs w:val="24"/>
              </w:rPr>
              <w:t>（七）总计</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2</w:t>
            </w:r>
          </w:p>
        </w:tc>
      </w:tr>
      <w:tr>
        <w:tc>
          <w:tcPr>
            <w:tcW w:w="4302" w:type="dxa"/>
            <w:gridSpan w:val="3"/>
            <w:shd w:val="clear" w:color="auto" w:fill="auto"/>
            <w:tcMar>
              <w:left w:w="108" w:type="dxa"/>
              <w:right w:w="108" w:type="dxa"/>
            </w:tcMar>
            <w:vAlign w:val="center"/>
          </w:tcPr>
          <w:p>
            <w:pPr>
              <w:pStyle w:val="28"/>
              <w:widowControl/>
              <w:jc w:val="left"/>
            </w:pPr>
            <w:r>
              <w:rPr>
                <w:rFonts w:ascii="宋体" w:cs="宋体" w:hint="eastAsia"/>
                <w:kern w:val="0"/>
                <w:sz w:val="24"/>
                <w:szCs w:val="24"/>
              </w:rPr>
              <w:t>四、结转下年度继续办理</w:t>
            </w:r>
          </w:p>
        </w:tc>
        <w:tc>
          <w:tcPr>
            <w:tcW w:w="63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7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50"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765"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497"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c>
          <w:tcPr>
            <w:tcW w:w="682" w:type="dxa"/>
            <w:shd w:val="clear" w:color="auto" w:fill="auto"/>
            <w:tcMar>
              <w:left w:w="108" w:type="dxa"/>
              <w:right w:w="108" w:type="dxa"/>
            </w:tcMar>
            <w:vAlign w:val="center"/>
          </w:tcPr>
          <w:p>
            <w:pPr>
              <w:pStyle w:val="28"/>
              <w:jc w:val="center"/>
              <w:rPr>
                <w:rFonts w:eastAsia="方正仿宋_GBK"/>
                <w:sz w:val="24"/>
                <w:szCs w:val="24"/>
              </w:rPr>
            </w:pPr>
            <w:r>
              <w:rPr>
                <w:rFonts w:eastAsia="方正仿宋_GBK" w:hint="eastAsia"/>
                <w:sz w:val="24"/>
                <w:szCs w:val="24"/>
              </w:rPr>
              <w:t>0</w:t>
            </w:r>
          </w:p>
        </w:tc>
      </w:tr>
    </w:tbl>
    <w:p>
      <w:pPr>
        <w:pStyle w:val="25"/>
        <w:widowControl/>
        <w:shd w:val="clear" w:color="auto" w:fill="FFFFFF"/>
        <w:spacing w:beforeLines="50" w:before="218" w:beforeAutospacing="0" w:after="120" w:afterAutospacing="0" w:line="560" w:lineRule="exact"/>
        <w:ind w:firstLineChars="200" w:firstLine="640"/>
        <w:jc w:val="both"/>
        <w:rPr>
          <w:rFonts w:ascii="方正黑体_GBK" w:eastAsia="方正黑体_GBK" w:cs="楷体_GB2312" w:hint="eastAsia"/>
          <w:bCs/>
          <w:sz w:val="32"/>
          <w:szCs w:val="32"/>
          <w:shd w:val="clear" w:color="auto" w:fill="FFFFFF"/>
        </w:rPr>
      </w:pPr>
    </w:p>
    <w:p>
      <w:pPr>
        <w:pStyle w:val="25"/>
        <w:widowControl/>
        <w:shd w:val="clear" w:color="auto" w:fill="FFFFFF"/>
        <w:spacing w:beforeLines="50" w:before="218" w:beforeAutospacing="0" w:after="120" w:afterAutospacing="0" w:line="560" w:lineRule="exact"/>
        <w:ind w:firstLineChars="200" w:firstLine="640"/>
        <w:jc w:val="both"/>
        <w:rPr>
          <w:rFonts w:ascii="方正黑体_GBK" w:eastAsia="方正黑体_GBK" w:cs="楷体_GB2312" w:hint="eastAsia"/>
          <w:bCs/>
          <w:sz w:val="32"/>
          <w:szCs w:val="32"/>
          <w:shd w:val="clear" w:color="auto" w:fill="FFFFFF"/>
        </w:rPr>
      </w:pPr>
    </w:p>
    <w:p>
      <w:pPr>
        <w:pStyle w:val="25"/>
        <w:widowControl/>
        <w:shd w:val="clear" w:color="auto" w:fill="FFFFFF"/>
        <w:spacing w:beforeLines="50" w:before="218" w:beforeAutospacing="0" w:after="120" w:afterAutospacing="0" w:line="560" w:lineRule="exact"/>
        <w:ind w:firstLineChars="200" w:firstLine="640"/>
        <w:jc w:val="both"/>
        <w:rPr>
          <w:rFonts w:ascii="方正黑体_GBK" w:eastAsia="方正黑体_GBK" w:cs="楷体_GB2312" w:hint="eastAsia"/>
          <w:bCs/>
          <w:sz w:val="32"/>
          <w:szCs w:val="32"/>
          <w:shd w:val="clear" w:color="auto" w:fill="FFFFFF"/>
        </w:rPr>
      </w:pPr>
    </w:p>
    <w:p>
      <w:pPr>
        <w:pStyle w:val="25"/>
        <w:widowControl/>
        <w:shd w:val="clear" w:color="auto" w:fill="FFFFFF"/>
        <w:spacing w:beforeLines="50" w:before="218" w:beforeAutospacing="0" w:after="12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四、政府信息公开行政复议、行政诉讼情况</w:t>
      </w:r>
    </w:p>
    <w:tbl>
      <w:tblPr>
        <w:jc w:val="center"/>
        <w:tblW w:w="907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行政复议</w:t>
            </w:r>
          </w:p>
        </w:tc>
        <w:tc>
          <w:tcPr>
            <w:tcW w:w="5997" w:type="dxa"/>
            <w:gridSpan w:val="10"/>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行政诉讼</w:t>
            </w:r>
          </w:p>
        </w:tc>
      </w:tr>
      <w:tr>
        <w:tc>
          <w:tcPr>
            <w:tcW w:w="604"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4"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4"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4"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58" w:type="dxa"/>
            <w:vMerge w:val="restart"/>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2970" w:type="dxa"/>
            <w:gridSpan w:val="5"/>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未经复议直接起诉</w:t>
            </w:r>
          </w:p>
        </w:tc>
        <w:tc>
          <w:tcPr>
            <w:tcW w:w="3027" w:type="dxa"/>
            <w:gridSpan w:val="5"/>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复议后起诉</w:t>
            </w:r>
          </w:p>
        </w:tc>
      </w:tr>
      <w:tr>
        <w:tc>
          <w:tcPr>
            <w:tcW w:w="604" w:type="dxa"/>
            <w:vMerge/>
            <w:shd w:val="clear" w:color="auto" w:fill="auto"/>
            <w:tcMar>
              <w:left w:w="108" w:type="dxa"/>
              <w:right w:w="108" w:type="dxa"/>
            </w:tcMar>
            <w:vAlign w:val="center"/>
          </w:tcPr>
          <w:p/>
        </w:tc>
        <w:tc>
          <w:tcPr>
            <w:tcW w:w="604" w:type="dxa"/>
            <w:vMerge/>
            <w:shd w:val="clear" w:color="auto" w:fill="auto"/>
            <w:tcMar>
              <w:left w:w="108" w:type="dxa"/>
              <w:right w:w="108" w:type="dxa"/>
            </w:tcMar>
            <w:vAlign w:val="center"/>
          </w:tcPr>
          <w:p/>
        </w:tc>
        <w:tc>
          <w:tcPr>
            <w:tcW w:w="604" w:type="dxa"/>
            <w:vMerge/>
            <w:shd w:val="clear" w:color="auto" w:fill="auto"/>
            <w:tcMar>
              <w:left w:w="108" w:type="dxa"/>
              <w:right w:w="108" w:type="dxa"/>
            </w:tcMar>
            <w:vAlign w:val="center"/>
          </w:tcPr>
          <w:p/>
        </w:tc>
        <w:tc>
          <w:tcPr>
            <w:tcW w:w="604" w:type="dxa"/>
            <w:vMerge/>
            <w:shd w:val="clear" w:color="auto" w:fill="auto"/>
            <w:tcMar>
              <w:left w:w="108" w:type="dxa"/>
              <w:right w:w="108" w:type="dxa"/>
            </w:tcMar>
            <w:vAlign w:val="center"/>
          </w:tcPr>
          <w:p/>
        </w:tc>
        <w:tc>
          <w:tcPr>
            <w:tcW w:w="658" w:type="dxa"/>
            <w:vMerge/>
            <w:shd w:val="clear" w:color="auto" w:fill="auto"/>
            <w:tcMar>
              <w:left w:w="108" w:type="dxa"/>
              <w:right w:w="108" w:type="dxa"/>
            </w:tcMar>
            <w:vAlign w:val="center"/>
          </w:tcPr>
          <w:p/>
        </w:tc>
        <w:tc>
          <w:tcPr>
            <w:tcW w:w="550"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结果维持</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结果纠正</w:t>
            </w:r>
          </w:p>
        </w:tc>
        <w:tc>
          <w:tcPr>
            <w:tcW w:w="605"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其他结果</w:t>
            </w:r>
          </w:p>
        </w:tc>
        <w:tc>
          <w:tcPr>
            <w:tcW w:w="606"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尚未审结</w:t>
            </w:r>
          </w:p>
        </w:tc>
        <w:tc>
          <w:tcPr>
            <w:tcW w:w="606" w:type="dxa"/>
            <w:shd w:val="clear" w:color="auto" w:fill="auto"/>
            <w:tcMar>
              <w:left w:w="108" w:type="dxa"/>
              <w:right w:w="108" w:type="dxa"/>
            </w:tcMar>
            <w:vAlign w:val="center"/>
          </w:tcPr>
          <w:p>
            <w:pPr>
              <w:pStyle w:val="28"/>
              <w:widowControl/>
              <w:jc w:val="center"/>
              <w:rPr>
                <w:sz w:val="24"/>
                <w:szCs w:val="24"/>
              </w:rPr>
            </w:pPr>
            <w:r>
              <w:rPr>
                <w:rFonts w:ascii="宋体" w:cs="宋体" w:hint="eastAsia"/>
                <w:kern w:val="0"/>
                <w:sz w:val="24"/>
                <w:szCs w:val="24"/>
              </w:rPr>
              <w:t>总计</w:t>
            </w:r>
          </w:p>
        </w:tc>
      </w:tr>
      <w:tr>
        <w:trPr>
          <w:trHeight w:val="862"/>
        </w:trPr>
        <w:tc>
          <w:tcPr>
            <w:tcW w:w="604"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4"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58"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550"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5" w:type="dxa"/>
            <w:shd w:val="clear" w:color="auto" w:fill="auto"/>
            <w:tcMar>
              <w:left w:w="108" w:type="dxa"/>
              <w:right w:w="108" w:type="dxa"/>
            </w:tcMar>
            <w:vAlign w:val="center"/>
          </w:tcPr>
          <w:p>
            <w:pPr>
              <w:pStyle w:val="28"/>
              <w:widowControl/>
              <w:jc w:val="center"/>
              <w:rPr>
                <w:sz w:val="28"/>
                <w:szCs w:val="28"/>
              </w:rPr>
            </w:pPr>
            <w:r>
              <w:rPr>
                <w:rFonts w:hint="eastAsia"/>
                <w:sz w:val="28"/>
                <w:szCs w:val="28"/>
              </w:rPr>
              <w:t>0</w:t>
            </w:r>
          </w:p>
        </w:tc>
        <w:tc>
          <w:tcPr>
            <w:tcW w:w="606" w:type="dxa"/>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c>
          <w:tcPr>
            <w:tcW w:w="606" w:type="dxa"/>
            <w:shd w:val="clear" w:color="auto" w:fill="auto"/>
            <w:tcMar>
              <w:left w:w="108" w:type="dxa"/>
              <w:right w:w="108" w:type="dxa"/>
            </w:tcMar>
            <w:vAlign w:val="center"/>
          </w:tcPr>
          <w:p>
            <w:pPr>
              <w:pStyle w:val="28"/>
              <w:widowControl/>
              <w:jc w:val="center"/>
              <w:rPr>
                <w:kern w:val="0"/>
                <w:sz w:val="28"/>
                <w:szCs w:val="28"/>
              </w:rPr>
            </w:pPr>
            <w:r>
              <w:rPr>
                <w:rFonts w:hint="eastAsia"/>
                <w:kern w:val="0"/>
                <w:sz w:val="28"/>
                <w:szCs w:val="28"/>
              </w:rPr>
              <w:t>0</w:t>
            </w:r>
          </w:p>
        </w:tc>
      </w:tr>
    </w:tbl>
    <w:p>
      <w:pPr>
        <w:pStyle w:val="25"/>
        <w:widowControl/>
        <w:shd w:val="clear" w:color="auto" w:fill="FFFFFF"/>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pPr>
        <w:pStyle w:val="41"/>
        <w:adjustRightInd w:val="0"/>
        <w:snapToGrid w:val="0"/>
        <w:ind w:firstLineChars="200" w:firstLine="624"/>
        <w:rPr>
          <w:rFonts w:hint="eastAsia"/>
          <w:spacing w:val="-6"/>
        </w:rPr>
      </w:pPr>
      <w:r>
        <w:rPr>
          <w:rFonts w:ascii="方正楷体_GBK" w:eastAsia="方正楷体_GBK" w:hint="eastAsia"/>
          <w:bCs/>
        </w:rPr>
        <w:t>（一）</w:t>
      </w:r>
      <w:r>
        <w:rPr>
          <w:rFonts w:eastAsia="方正楷体_GBK"/>
          <w:bCs/>
        </w:rPr>
        <w:t>202</w:t>
      </w:r>
      <w:r>
        <w:rPr>
          <w:rFonts w:eastAsia="方正楷体_GBK" w:hint="eastAsia"/>
          <w:bCs/>
        </w:rPr>
        <w:t>4</w:t>
      </w:r>
      <w:r>
        <w:rPr>
          <w:rFonts w:ascii="方正楷体_GBK" w:eastAsia="方正楷体_GBK" w:hint="eastAsia"/>
          <w:bCs/>
        </w:rPr>
        <w:t>年年报中所提问题整改情况。</w:t>
      </w:r>
      <w:r>
        <w:rPr>
          <w:rFonts w:hint="eastAsia"/>
          <w:spacing w:val="-6"/>
        </w:rPr>
        <w:t>2024年，我关政务公开工作存在的主要问题是</w:t>
      </w:r>
      <w:r>
        <w:rPr>
          <w:rFonts w:hint="eastAsia"/>
          <w:kern w:val="0"/>
        </w:rPr>
        <w:t>在</w:t>
      </w:r>
      <w:r>
        <w:rPr>
          <w:rFonts w:hint="eastAsia"/>
          <w:spacing w:val="-6"/>
        </w:rPr>
        <w:t>处理疑难、复杂问题</w:t>
      </w:r>
      <w:r>
        <w:rPr>
          <w:spacing w:val="-6"/>
        </w:rPr>
        <w:t>方面的能力</w:t>
      </w:r>
      <w:r>
        <w:rPr>
          <w:rFonts w:hint="eastAsia"/>
          <w:kern w:val="0"/>
        </w:rPr>
        <w:t>有待进一步</w:t>
      </w:r>
      <w:r>
        <w:rPr>
          <w:kern w:val="0"/>
        </w:rPr>
        <w:t>提升</w:t>
      </w:r>
      <w:r>
        <w:rPr>
          <w:rFonts w:hint="eastAsia"/>
          <w:kern w:val="0"/>
        </w:rPr>
        <w:t>。2025</w:t>
      </w:r>
      <w:r>
        <w:rPr>
          <w:rFonts w:hint="eastAsia"/>
          <w:spacing w:val="-6"/>
        </w:rPr>
        <w:t>年，我关依托人工智能技术创新打造“特殊物品咨询AI服务平台”、“慧关通”—智慧报关厅公共服务平台等政策咨询平台，并通过开展电话咨询服务培训，多措并举提升企业群众咨询体验和满意度。</w:t>
      </w:r>
    </w:p>
    <w:p>
      <w:pPr>
        <w:pStyle w:val="41"/>
        <w:adjustRightInd w:val="0"/>
        <w:snapToGrid w:val="0"/>
        <w:ind w:firstLineChars="200" w:firstLine="624"/>
        <w:rPr>
          <w:spacing w:val="-6"/>
        </w:rPr>
      </w:pPr>
      <w:r>
        <w:rPr>
          <w:rFonts w:ascii="方正楷体_GBK" w:eastAsia="方正楷体_GBK" w:hint="eastAsia"/>
          <w:bCs/>
        </w:rPr>
        <w:t>（二）目前存在问题。</w:t>
      </w:r>
      <w:r>
        <w:rPr>
          <w:rFonts w:hint="eastAsia"/>
          <w:spacing w:val="-6"/>
        </w:rPr>
        <w:t>政务公开信息供给时效性有待进一步提升。</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hint="eastAsia"/>
          <w:bCs/>
          <w:sz w:val="32"/>
          <w:szCs w:val="32"/>
          <w:shd w:val="clear" w:color="auto" w:fill="FFFFFF"/>
        </w:rPr>
      </w:pPr>
      <w:r>
        <w:rPr>
          <w:rFonts w:ascii="方正黑体_GBK" w:eastAsia="方正黑体_GBK" w:cs="楷体_GB2312" w:hint="eastAsia"/>
          <w:bCs/>
          <w:sz w:val="32"/>
          <w:szCs w:val="32"/>
          <w:shd w:val="clear" w:color="auto" w:fill="FFFFFF"/>
        </w:rPr>
        <w:t>六、其他需要报告的事项</w:t>
      </w:r>
      <w:bookmarkEnd w:id="1"/>
    </w:p>
    <w:p>
      <w:pPr>
        <w:pStyle w:val="40"/>
        <w:adjustRightInd w:val="0"/>
        <w:snapToGrid w:val="0"/>
        <w:ind w:firstLineChars="200" w:firstLine="624"/>
        <w:rPr>
          <w:kern w:val="0"/>
        </w:rPr>
      </w:pPr>
      <w:r>
        <w:rPr>
          <w:kern w:val="0"/>
        </w:rPr>
        <w:t>苏州工业园区海关202</w:t>
      </w:r>
      <w:r>
        <w:rPr>
          <w:rFonts w:hint="eastAsia"/>
          <w:kern w:val="0"/>
        </w:rPr>
        <w:t>5</w:t>
      </w:r>
      <w:r>
        <w:rPr>
          <w:kern w:val="0"/>
        </w:rPr>
        <w:t>年无收取信息处理费情况。</w:t>
      </w:r>
    </w:p>
    <w:sectPr>
      <w:footerReference w:type="default" r:id="rId2"/>
      <w:footerReference w:type="even" r:id="rId3"/>
      <w:footerReference w:type="first" r:id="rId4"/>
      <w:pgSz w:w="11906" w:h="16838"/>
      <w:pgMar w:top="2098" w:right="1474" w:bottom="1985" w:left="1588" w:header="851" w:footer="992" w:gutter="0"/>
      <w:pgNumType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楷体_GB2312">
    <w:altName w:val="楷体"/>
    <w:panose1 w:val="00000000000000000000"/>
    <w:charset w:val="86"/>
    <w:family w:val="modern"/>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ourier New">
    <w:panose1 w:val="02070309020205020404"/>
    <w:charset w:val="00"/>
    <w:family w:val="moder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ucida Sans">
    <w:panose1 w:val="00000000000000000000"/>
    <w:charset w:val="00"/>
    <w:family w:val="swiss"/>
    <w:pitch w:val="variable"/>
    <w:sig w:usb0="00000003" w:usb1="00000000" w:usb2="00000000" w:usb3="00000000" w:csb0="0000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pPr>
    <w:r>
      <w:fldChar w:fldCharType="begin"/>
    </w:r>
    <w:r>
      <w:instrText xml:space="preserve"> PAGE   \* MERGEFORMAT </w:instrText>
    </w:r>
    <w:r>
      <w:fldChar w:fldCharType="separate"/>
    </w:r>
    <w:r>
      <w:rPr>
        <w:lang w:val="zh-CN" w:eastAsia="zh-CN"/>
      </w:rPr>
      <w:t>3</w:t>
    </w:r>
    <w:r>
      <w:fldChar w:fldCharType="end"/>
    </w:r>
  </w:p>
  <w:p>
    <w:pPr>
      <w:pStyle w:val="16"/>
      <w:tabs>
        <w:tab w:val="center" w:pos="4153"/>
        <w:tab w:val="right" w:pos="8306"/>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center"/>
    </w:pPr>
    <w:r>
      <w:fldChar w:fldCharType="begin"/>
    </w:r>
    <w:r>
      <w:instrText xml:space="preserve"> PAGE   \* MERGEFORMAT </w:instrText>
    </w:r>
    <w:r>
      <w:fldChar w:fldCharType="separate"/>
    </w:r>
    <w:r>
      <w:rPr>
        <w:lang w:val="zh-CN" w:eastAsia="zh-CN"/>
      </w:rPr>
      <w:t>4</w:t>
    </w:r>
    <w:r>
      <w:fldChar w:fldCharType="end"/>
    </w:r>
  </w:p>
  <w:p>
    <w:pPr>
      <w:pStyle w:val="16"/>
      <w:tabs>
        <w:tab w:val="center" w:pos="4153"/>
        <w:tab w:val="right" w:pos="8306"/>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6</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0"/>
  <w:doNotDisplayPageBoundaries/>
  <w:bordersDoNotSurroundHeader/>
  <w:bordersDoNotSurroundFooter/>
  <w:defaultTabStop w:val="420"/>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eastAsia="黑体"/>
      <w:b/>
      <w:bCs/>
      <w:szCs w:val="32"/>
    </w:rPr>
  </w:style>
  <w:style w:type="paragraph" w:styleId="3">
    <w:name w:val="heading 3"/>
    <w:basedOn w:val="0"/>
    <w:next w:val="0"/>
    <w:pPr>
      <w:keepNext/>
      <w:keepLines/>
      <w:widowControl w:val="0"/>
      <w:spacing w:before="260" w:after="260" w:line="415" w:lineRule="auto"/>
      <w:outlineLvl w:val="2"/>
    </w:pPr>
    <w:rPr>
      <w:b/>
      <w:bCs/>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86"/>
    <w:pPr>
      <w:widowControl w:val="0"/>
      <w:jc w:val="both"/>
    </w:pPr>
    <w:rPr>
      <w:rFonts w:ascii="Times New Roman" w:eastAsia="方正仿宋_GBK" w:cs="Times New Roman" w:hAnsi="Times New Roman"/>
      <w:kern w:val="2"/>
      <w:sz w:val="32"/>
      <w:szCs w:val="2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next w:val="84"/>
    <w:pPr>
      <w:widowControl w:val="0"/>
      <w:jc w:val="both"/>
    </w:pPr>
    <w:rPr>
      <w:rFonts w:ascii="Times New Roman" w:eastAsia="方正仿宋_GBK" w:cs="Times New Roman" w:hAnsi="Times New Roman"/>
      <w:kern w:val="2"/>
      <w:sz w:val="32"/>
      <w:szCs w:val="2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endnote text"/>
    <w:basedOn w:val="0"/>
    <w:pPr>
      <w:snapToGrid w:val="0"/>
      <w:jc w:val="left"/>
    </w:pPr>
  </w:style>
  <w:style w:type="paragraph" w:styleId="69">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lang w:val="en-US" w:eastAsia="zh-CN" w:bidi="ar-SA"/>
    </w:rPr>
  </w:style>
  <w:style w:type="paragraph" w:styleId="70">
    <w:name w:val="toa heading"/>
    <w:basedOn w:val="0"/>
    <w:next w:val="0"/>
    <w:pPr>
      <w:spacing w:before="120"/>
    </w:pPr>
    <w:rPr>
      <w:rFonts w:ascii="Arial" w:hAnsi="Arial"/>
      <w:sz w:val="24"/>
    </w:rPr>
  </w:style>
  <w:style w:type="paragraph" w:styleId="71">
    <w:name w:val="List 4"/>
    <w:basedOn w:val="0"/>
    <w:pPr>
      <w:ind w:left="1680" w:hanging="420"/>
    </w:pPr>
  </w:style>
  <w:style w:type="paragraph" w:customStyle="1" w:styleId="72">
    <w:name w:val="样式 11 三号"/>
    <w:pPr>
      <w:widowControl w:val="0"/>
      <w:jc w:val="both"/>
    </w:pPr>
    <w:rPr>
      <w:rFonts w:ascii="Times New Roman" w:eastAsia="方正仿宋_GBK" w:cs="Times New Roman" w:hAnsi="Times New Roman"/>
      <w:kern w:val="2"/>
      <w:sz w:val="32"/>
      <w:lang w:val="en-US" w:eastAsia="zh-CN" w:bidi="ar-SA"/>
    </w:rPr>
  </w:style>
  <w:style w:type="paragraph" w:customStyle="1" w:styleId="73">
    <w:name w:val="样式 90 三号"/>
    <w:next w:val="4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4">
    <w:name w:val="样式 85 三号"/>
    <w:next w:val="46"/>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5">
    <w:name w:val="样式 32 三号"/>
    <w:next w:val="7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6">
    <w:name w:val="样式 14 三号"/>
    <w:pPr>
      <w:widowControl w:val="0"/>
      <w:jc w:val="both"/>
    </w:pPr>
    <w:rPr>
      <w:rFonts w:ascii="Times New Roman" w:eastAsia="方正仿宋_GBK" w:cs="Times New Roman" w:hAnsi="Times New Roman"/>
      <w:kern w:val="2"/>
      <w:sz w:val="32"/>
      <w:lang w:val="en-US" w:eastAsia="zh-CN" w:bidi="ar-SA"/>
    </w:rPr>
  </w:style>
  <w:style w:type="paragraph" w:customStyle="1" w:styleId="77">
    <w:name w:val="样式 15 三号"/>
    <w:pPr>
      <w:widowControl w:val="0"/>
      <w:jc w:val="both"/>
    </w:pPr>
    <w:rPr>
      <w:rFonts w:ascii="Times New Roman" w:eastAsia="方正仿宋_GBK" w:cs="Times New Roman" w:hAnsi="Times New Roman"/>
      <w:kern w:val="2"/>
      <w:sz w:val="32"/>
      <w:lang w:val="en-US" w:eastAsia="zh-CN" w:bidi="ar-SA"/>
    </w:rPr>
  </w:style>
  <w:style w:type="paragraph" w:customStyle="1" w:styleId="78">
    <w:name w:val="样式 52 三号"/>
    <w:next w:val="39"/>
    <w:pPr>
      <w:widowControl w:val="0"/>
      <w:jc w:val="both"/>
    </w:pPr>
    <w:rPr>
      <w:rFonts w:ascii="Times New Roman" w:eastAsia="方正仿宋_GBK" w:cs="Times New Roman" w:hAnsi="Times New Roman"/>
      <w:kern w:val="2"/>
      <w:sz w:val="32"/>
      <w:lang w:val="en-US" w:eastAsia="zh-CN" w:bidi="ar-SA"/>
    </w:rPr>
  </w:style>
  <w:style w:type="paragraph" w:customStyle="1" w:styleId="79">
    <w:name w:val="样式 17 三号"/>
    <w:next w:val="69"/>
    <w:pPr>
      <w:widowControl w:val="0"/>
      <w:jc w:val="both"/>
    </w:pPr>
    <w:rPr>
      <w:rFonts w:ascii="Times New Roman" w:eastAsia="方正仿宋_GBK" w:cs="Times New Roman" w:hAnsi="Times New Roman"/>
      <w:kern w:val="2"/>
      <w:sz w:val="32"/>
      <w:lang w:val="en-US" w:eastAsia="zh-CN" w:bidi="ar-SA"/>
    </w:rPr>
  </w:style>
  <w:style w:type="paragraph" w:customStyle="1" w:styleId="80">
    <w:name w:val="样式 16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81">
    <w:name w:val="样式 18 三号"/>
    <w:next w:val="70"/>
    <w:pPr>
      <w:widowControl w:val="0"/>
      <w:jc w:val="both"/>
    </w:pPr>
    <w:rPr>
      <w:rFonts w:ascii="Times New Roman" w:eastAsia="方正仿宋_GBK" w:cs="Times New Roman" w:hAnsi="Times New Roman"/>
      <w:kern w:val="2"/>
      <w:sz w:val="32"/>
      <w:szCs w:val="22"/>
      <w:lang w:val="en-US" w:eastAsia="zh-CN" w:bidi="ar-SA"/>
    </w:rPr>
  </w:style>
  <w:style w:type="paragraph" w:customStyle="1" w:styleId="82">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83">
    <w:name w:val="样式 20 三号"/>
    <w:pPr>
      <w:widowControl w:val="0"/>
      <w:jc w:val="both"/>
    </w:pPr>
    <w:rPr>
      <w:rFonts w:ascii="Times New Roman" w:eastAsia="方正仿宋_GBK" w:cs="Times New Roman" w:hAnsi="Times New Roman"/>
      <w:kern w:val="2"/>
      <w:sz w:val="32"/>
      <w:lang w:val="en-US" w:eastAsia="zh-CN" w:bidi="ar-SA"/>
    </w:rPr>
  </w:style>
  <w:style w:type="paragraph" w:customStyle="1" w:styleId="84">
    <w:name w:val="样式 21 三号"/>
    <w:pPr>
      <w:widowControl w:val="0"/>
      <w:jc w:val="both"/>
    </w:pPr>
    <w:rPr>
      <w:rFonts w:ascii="Times New Roman" w:eastAsia="方正仿宋_GBK" w:cs="Times New Roman" w:hAnsi="Times New Roman"/>
      <w:kern w:val="2"/>
      <w:sz w:val="32"/>
      <w:lang w:val="en-US" w:eastAsia="zh-CN" w:bidi="ar-SA"/>
    </w:rPr>
  </w:style>
  <w:style w:type="paragraph" w:customStyle="1" w:styleId="85">
    <w:name w:val="样式 22 三号"/>
    <w:pPr>
      <w:widowControl w:val="0"/>
      <w:jc w:val="both"/>
    </w:pPr>
    <w:rPr>
      <w:rFonts w:ascii="Times New Roman" w:eastAsia="方正仿宋_GBK" w:cs="Times New Roman" w:hAnsi="Times New Roman"/>
      <w:kern w:val="2"/>
      <w:sz w:val="32"/>
      <w:lang w:val="en-US" w:eastAsia="zh-CN" w:bidi="ar-SA"/>
    </w:rPr>
  </w:style>
  <w:style w:type="paragraph" w:customStyle="1" w:styleId="86">
    <w:name w:val="样式 23 三号"/>
    <w:pPr>
      <w:widowControl w:val="0"/>
      <w:jc w:val="both"/>
    </w:pPr>
    <w:rPr>
      <w:rFonts w:ascii="Times New Roman" w:eastAsia="方正仿宋_GBK" w:cs="Times New Roman" w:hAnsi="Times New Roman"/>
      <w:kern w:val="2"/>
      <w:sz w:val="32"/>
      <w:lang w:val="en-US" w:eastAsia="zh-CN" w:bidi="ar-SA"/>
    </w:rPr>
  </w:style>
  <w:style w:type="paragraph" w:customStyle="1" w:styleId="87">
    <w:name w:val="样式 24 三号"/>
    <w:pPr>
      <w:widowControl w:val="0"/>
      <w:jc w:val="both"/>
    </w:pPr>
    <w:rPr>
      <w:rFonts w:ascii="Times New Roman" w:eastAsia="方正仿宋_GBK" w:cs="Times New Roman" w:hAnsi="Times New Roman"/>
      <w:kern w:val="2"/>
      <w:sz w:val="32"/>
      <w:lang w:val="en-US" w:eastAsia="zh-CN" w:bidi="ar-SA"/>
    </w:rPr>
  </w:style>
  <w:style w:type="paragraph" w:customStyle="1" w:styleId="88">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89">
    <w:name w:val="样式 26 三号"/>
    <w:pPr>
      <w:widowControl w:val="0"/>
      <w:jc w:val="both"/>
    </w:pPr>
    <w:rPr>
      <w:rFonts w:ascii="Times New Roman" w:eastAsia="方正仿宋_GBK" w:cs="Times New Roman" w:hAnsi="Times New Roman"/>
      <w:kern w:val="2"/>
      <w:sz w:val="32"/>
      <w:lang w:val="en-US" w:eastAsia="zh-CN" w:bidi="ar-SA"/>
    </w:rPr>
  </w:style>
  <w:style w:type="paragraph" w:customStyle="1" w:styleId="90">
    <w:name w:val="样式 27 三号"/>
    <w:pPr>
      <w:widowControl w:val="0"/>
      <w:jc w:val="both"/>
    </w:pPr>
    <w:rPr>
      <w:rFonts w:ascii="Times New Roman" w:eastAsia="方正仿宋_GBK" w:cs="Times New Roman" w:hAnsi="Times New Roman"/>
      <w:kern w:val="2"/>
      <w:sz w:val="32"/>
      <w:lang w:val="en-US" w:eastAsia="zh-CN" w:bidi="ar-SA"/>
    </w:rPr>
  </w:style>
  <w:style w:type="paragraph" w:customStyle="1" w:styleId="91">
    <w:name w:val="样式 29 三号"/>
    <w:next w:val="30"/>
    <w:pPr>
      <w:widowControl w:val="0"/>
      <w:jc w:val="both"/>
    </w:pPr>
    <w:rPr>
      <w:rFonts w:ascii="Times New Roman" w:eastAsia="方正仿宋_GBK" w:cs="Times New Roman" w:hAnsi="Times New Roman"/>
      <w:kern w:val="2"/>
      <w:sz w:val="32"/>
      <w:lang w:val="en-US" w:eastAsia="zh-CN" w:bidi="ar-SA"/>
    </w:rPr>
  </w:style>
  <w:style w:type="paragraph" w:customStyle="1" w:styleId="92">
    <w:name w:val="样式 30 三号"/>
    <w:next w:val="31"/>
    <w:pPr>
      <w:widowControl w:val="0"/>
      <w:jc w:val="both"/>
    </w:pPr>
    <w:rPr>
      <w:rFonts w:ascii="Times New Roman" w:eastAsia="方正仿宋_GBK" w:cs="Times New Roman" w:hAnsi="Times New Roman"/>
      <w:kern w:val="2"/>
      <w:sz w:val="32"/>
      <w:lang w:val="en-US" w:eastAsia="zh-CN" w:bidi="ar-SA"/>
    </w:rPr>
  </w:style>
  <w:style w:type="paragraph" w:customStyle="1" w:styleId="93">
    <w:name w:val="样式 28 三号"/>
    <w:pPr>
      <w:widowControl w:val="0"/>
      <w:jc w:val="both"/>
    </w:pPr>
    <w:rPr>
      <w:rFonts w:ascii="Times New Roman" w:eastAsia="方正仿宋_GBK" w:cs="Times New Roman" w:hAnsi="Times New Roman"/>
      <w:kern w:val="2"/>
      <w:sz w:val="32"/>
      <w:lang w:val="en-US" w:eastAsia="zh-CN" w:bidi="ar-SA"/>
    </w:rPr>
  </w:style>
  <w:style w:type="paragraph" w:customStyle="1" w:styleId="94">
    <w:name w:val="样式 31 三号"/>
    <w:pPr>
      <w:widowControl w:val="0"/>
      <w:jc w:val="both"/>
    </w:pPr>
    <w:rPr>
      <w:rFonts w:ascii="Times New Roman" w:eastAsia="方正仿宋_GBK" w:cs="Times New Roman" w:hAnsi="Times New Roman"/>
      <w:kern w:val="2"/>
      <w:sz w:val="32"/>
      <w:lang w:val="en-US" w:eastAsia="zh-CN" w:bidi="ar-SA"/>
    </w:rPr>
  </w:style>
  <w:style w:type="paragraph" w:customStyle="1" w:styleId="95">
    <w:name w:val="样式 33 三号"/>
    <w:pPr>
      <w:widowControl w:val="0"/>
      <w:jc w:val="both"/>
    </w:pPr>
    <w:rPr>
      <w:rFonts w:ascii="Times New Roman" w:eastAsia="方正仿宋_GBK" w:cs="Times New Roman" w:hAnsi="Times New Roman"/>
      <w:kern w:val="2"/>
      <w:sz w:val="32"/>
      <w:lang w:val="en-US" w:eastAsia="zh-CN" w:bidi="ar-SA"/>
    </w:rPr>
  </w:style>
  <w:style w:type="paragraph" w:customStyle="1" w:styleId="96">
    <w:name w:val="样式 34 三号"/>
    <w:pPr>
      <w:widowControl w:val="0"/>
      <w:jc w:val="both"/>
    </w:pPr>
    <w:rPr>
      <w:rFonts w:ascii="Times New Roman" w:eastAsia="方正仿宋_GBK" w:cs="Times New Roman" w:hAnsi="Times New Roman"/>
      <w:kern w:val="2"/>
      <w:sz w:val="32"/>
      <w:lang w:val="en-US" w:eastAsia="zh-CN" w:bidi="ar-SA"/>
    </w:rPr>
  </w:style>
  <w:style w:type="paragraph" w:customStyle="1" w:styleId="97">
    <w:name w:val="样式 35 三号"/>
    <w:pPr>
      <w:widowControl w:val="0"/>
      <w:jc w:val="both"/>
    </w:pPr>
    <w:rPr>
      <w:rFonts w:ascii="Times New Roman" w:eastAsia="方正仿宋_GBK" w:cs="Times New Roman" w:hAnsi="Times New Roman"/>
      <w:kern w:val="2"/>
      <w:sz w:val="32"/>
      <w:lang w:val="en-US" w:eastAsia="zh-CN" w:bidi="ar-SA"/>
    </w:rPr>
  </w:style>
  <w:style w:type="paragraph" w:customStyle="1" w:styleId="98">
    <w:name w:val="样式 38 三号"/>
    <w:next w:val="33"/>
    <w:pPr>
      <w:widowControl w:val="0"/>
      <w:jc w:val="both"/>
    </w:pPr>
    <w:rPr>
      <w:rFonts w:ascii="Times New Roman" w:eastAsia="方正仿宋_GBK" w:cs="Times New Roman" w:hAnsi="Times New Roman"/>
      <w:kern w:val="2"/>
      <w:sz w:val="32"/>
      <w:lang w:val="en-US" w:eastAsia="zh-CN" w:bidi="ar-SA"/>
    </w:rPr>
  </w:style>
  <w:style w:type="paragraph" w:customStyle="1" w:styleId="99">
    <w:name w:val="样式 37 三号"/>
    <w:next w:val="32"/>
    <w:pPr>
      <w:widowControl w:val="0"/>
      <w:jc w:val="both"/>
    </w:pPr>
    <w:rPr>
      <w:rFonts w:ascii="Times New Roman" w:eastAsia="方正仿宋_GBK" w:cs="Times New Roman" w:hAnsi="Times New Roman"/>
      <w:kern w:val="2"/>
      <w:sz w:val="32"/>
      <w:lang w:val="en-US" w:eastAsia="zh-CN" w:bidi="ar-SA"/>
    </w:rPr>
  </w:style>
  <w:style w:type="paragraph" w:customStyle="1" w:styleId="100">
    <w:name w:val="样式 36 三号"/>
    <w:pPr>
      <w:widowControl w:val="0"/>
      <w:jc w:val="both"/>
    </w:pPr>
    <w:rPr>
      <w:rFonts w:ascii="Times New Roman" w:eastAsia="方正仿宋_GBK" w:cs="Times New Roman" w:hAnsi="Times New Roman"/>
      <w:kern w:val="2"/>
      <w:sz w:val="32"/>
      <w:lang w:val="en-US" w:eastAsia="zh-CN" w:bidi="ar-SA"/>
    </w:rPr>
  </w:style>
  <w:style w:type="paragraph" w:customStyle="1" w:styleId="101">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02">
    <w:name w:val="样式 40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03">
    <w:name w:val="样式 41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04">
    <w:name w:val="样式 10 磅"/>
    <w:pPr>
      <w:widowControl w:val="0"/>
      <w:jc w:val="both"/>
    </w:pPr>
    <w:rPr>
      <w:rFonts w:ascii="Calibri" w:eastAsia="宋体" w:cs="Arial" w:hAnsi="Calibri"/>
      <w:kern w:val="2"/>
      <w:sz w:val="21"/>
      <w:szCs w:val="22"/>
      <w:lang w:val="en-US" w:eastAsia="zh-CN" w:bidi="ar-SA"/>
    </w:rPr>
  </w:style>
  <w:style w:type="paragraph" w:customStyle="1" w:styleId="105">
    <w:name w:val="样式 110 10 磅"/>
    <w:pPr>
      <w:widowControl w:val="0"/>
      <w:jc w:val="both"/>
    </w:pPr>
    <w:rPr>
      <w:rFonts w:ascii="Calibri" w:eastAsia="宋体" w:cs="Times New Roman" w:hAnsi="Calibri"/>
      <w:kern w:val="2"/>
      <w:sz w:val="21"/>
      <w:szCs w:val="22"/>
      <w:lang w:val="en-US" w:eastAsia="zh-CN" w:bidi="ar-SA"/>
    </w:rPr>
  </w:style>
  <w:style w:type="paragraph" w:customStyle="1" w:styleId="106">
    <w:name w:val="样式 4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07">
    <w:name w:val="样式 43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108">
    <w:name w:val="样式 44 三号"/>
    <w:pPr>
      <w:widowControl w:val="0"/>
      <w:jc w:val="both"/>
    </w:pPr>
    <w:rPr>
      <w:rFonts w:ascii="Times New Roman" w:eastAsia="方正仿宋_GBK" w:cs="Times New Roman" w:hAnsi="Times New Roman"/>
      <w:kern w:val="2"/>
      <w:sz w:val="32"/>
      <w:lang w:val="en-US" w:eastAsia="zh-CN" w:bidi="ar-SA"/>
    </w:rPr>
  </w:style>
  <w:style w:type="paragraph" w:customStyle="1" w:styleId="109">
    <w:name w:val="样式 109 10 磅"/>
    <w:pPr>
      <w:widowControl w:val="0"/>
      <w:jc w:val="both"/>
    </w:pPr>
    <w:rPr>
      <w:rFonts w:ascii="Times New Roman" w:eastAsia="宋体" w:cs="Times New Roman" w:hAnsi="Times New Roman"/>
      <w:kern w:val="2"/>
      <w:sz w:val="21"/>
      <w:szCs w:val="21"/>
      <w:lang w:val="en-US" w:eastAsia="zh-CN" w:bidi="ar-SA"/>
    </w:rPr>
  </w:style>
  <w:style w:type="paragraph" w:customStyle="1" w:styleId="110">
    <w:name w:val="样式 1 10 磅"/>
    <w:pPr>
      <w:widowControl w:val="0"/>
      <w:jc w:val="both"/>
    </w:pPr>
    <w:rPr>
      <w:rFonts w:ascii="Times New Roman" w:eastAsia="宋体" w:cs="Times New Roman" w:hAnsi="Times New Roman"/>
      <w:lang w:val="en-US" w:eastAsia="zh-CN" w:bidi="ar-SA"/>
    </w:rPr>
  </w:style>
  <w:style w:type="paragraph" w:customStyle="1" w:styleId="111">
    <w:name w:val="样式 4 小四"/>
    <w:pPr>
      <w:widowControl w:val="0"/>
    </w:pPr>
    <w:rPr>
      <w:rFonts w:ascii="宋体" w:eastAsia="宋体" w:cs="Lucida Sans"/>
      <w:kern w:val="2"/>
      <w:sz w:val="24"/>
      <w:szCs w:val="21"/>
      <w:lang w:val="en-US" w:eastAsia="zh-CN" w:bidi="ar-SA"/>
    </w:rPr>
  </w:style>
  <w:style w:type="paragraph" w:customStyle="1" w:styleId="112">
    <w:name w:val="样式 4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3">
    <w:name w:val="样式 46 三号"/>
    <w:pPr>
      <w:widowControl w:val="0"/>
      <w:jc w:val="both"/>
    </w:pPr>
    <w:rPr>
      <w:rFonts w:ascii="Times New Roman" w:eastAsia="方正仿宋_GBK" w:cs="Times New Roman" w:hAnsi="Times New Roman"/>
      <w:kern w:val="2"/>
      <w:sz w:val="32"/>
      <w:lang w:val="en-US" w:eastAsia="zh-CN" w:bidi="ar-SA"/>
    </w:rPr>
  </w:style>
  <w:style w:type="paragraph" w:customStyle="1" w:styleId="114">
    <w:name w:val="样式 4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5">
    <w:name w:val="样式 4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6">
    <w:name w:val="样式 4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5</TotalTime>
  <Application>Yozo_Office</Application>
  <Pages>6</Pages>
  <Words>2179</Words>
  <Characters>2309</Characters>
  <Lines>424</Lines>
  <Paragraphs>303</Paragraphs>
  <CharactersWithSpaces>2309</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田自横</cp:lastModifiedBy>
  <cp:revision>3</cp:revision>
  <cp:lastPrinted>2026-01-20T03:50:00Z</cp:lastPrinted>
  <dcterms:created xsi:type="dcterms:W3CDTF">2026-01-27T07:31:00Z</dcterms:created>
  <dcterms:modified xsi:type="dcterms:W3CDTF">2026-08-31T09:24:59Z</dcterms:modified>
</cp:coreProperties>
</file>